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BA" w:rsidRDefault="00892677">
      <w:pPr>
        <w:pStyle w:val="Standard"/>
        <w:snapToGrid w:val="0"/>
        <w:spacing w:after="180"/>
        <w:jc w:val="center"/>
      </w:pPr>
      <w:bookmarkStart w:id="0" w:name="_GoBack"/>
      <w:bookmarkEnd w:id="0"/>
      <w:r>
        <w:rPr>
          <w:rFonts w:ascii="標楷體" w:eastAsia="標楷體" w:hAnsi="標楷體" w:cs="Arial"/>
          <w:sz w:val="40"/>
          <w:szCs w:val="40"/>
        </w:rPr>
        <w:t>總統盃黑客松辦理要點</w:t>
      </w:r>
    </w:p>
    <w:p w:rsidR="00A522BA" w:rsidRDefault="00892677">
      <w:pPr>
        <w:pStyle w:val="a5"/>
        <w:numPr>
          <w:ilvl w:val="0"/>
          <w:numId w:val="25"/>
        </w:numPr>
        <w:snapToGrid w:val="0"/>
        <w:spacing w:line="276" w:lineRule="auto"/>
        <w:ind w:left="616" w:hanging="616"/>
        <w:jc w:val="both"/>
      </w:pPr>
      <w:r>
        <w:rPr>
          <w:rFonts w:ascii="標楷體" w:eastAsia="標楷體" w:hAnsi="標楷體"/>
          <w:sz w:val="28"/>
          <w:szCs w:val="28"/>
        </w:rPr>
        <w:t>為配合國家發展需求，展現政府對開放資料與資料運用創新之重視，並促進跨政府機關、跨領域及公私協力共創，鼓勵資料擁有者、資料科學家、領域專家多方交流，共同加速公共服務優化及鼓勵公務人員主動創新，以黑客文化實踐政府服務再造、提升國民福祉，建立全球夥伴關係，特訂定本要點。</w:t>
      </w:r>
    </w:p>
    <w:p w:rsidR="00A522BA" w:rsidRDefault="00892677">
      <w:pPr>
        <w:pStyle w:val="a5"/>
        <w:numPr>
          <w:ilvl w:val="0"/>
          <w:numId w:val="2"/>
        </w:numPr>
        <w:snapToGrid w:val="0"/>
        <w:spacing w:line="276" w:lineRule="auto"/>
        <w:ind w:left="624" w:hanging="624"/>
        <w:jc w:val="both"/>
      </w:pPr>
      <w:r>
        <w:rPr>
          <w:rFonts w:ascii="標楷體" w:eastAsia="標楷體" w:hAnsi="標楷體"/>
          <w:sz w:val="28"/>
          <w:szCs w:val="28"/>
        </w:rPr>
        <w:t>行政院（以下簡稱本院）為辦理總統盃黑客松（以下簡稱本競賽）諮詢、協調及評選等相關事宜，應組成總統盃黑客松委員會（以下簡稱本委員會），其組成及運作方式如下</w:t>
      </w:r>
      <w:r>
        <w:rPr>
          <w:rFonts w:ascii="標楷體" w:eastAsia="標楷體" w:hAnsi="標楷體" w:cs="Arial"/>
          <w:sz w:val="28"/>
          <w:szCs w:val="28"/>
        </w:rPr>
        <w:t>：</w:t>
      </w:r>
    </w:p>
    <w:p w:rsidR="00A522BA" w:rsidRDefault="00892677">
      <w:pPr>
        <w:pStyle w:val="a5"/>
        <w:numPr>
          <w:ilvl w:val="0"/>
          <w:numId w:val="26"/>
        </w:numPr>
        <w:snapToGrid w:val="0"/>
        <w:spacing w:line="276" w:lineRule="auto"/>
        <w:ind w:left="1274" w:hanging="700"/>
        <w:jc w:val="both"/>
      </w:pPr>
      <w:r>
        <w:rPr>
          <w:rFonts w:ascii="標楷體" w:eastAsia="標楷體" w:hAnsi="標楷體"/>
          <w:sz w:val="28"/>
          <w:szCs w:val="28"/>
        </w:rPr>
        <w:t>委員十三人，其中召集人一人，由本院院長或副院長擔任；副召集人一人，由總統府副秘書長擔任；執行長一人，由召集人指派之政務委員擔任；執行秘書一人，由本院科技會報辦公室執行秘書擔任；副執行秘書一人，由國家發展委員會負責政府資料開放之業務主管擔任。召集人、副召集人、執行長、執行秘書及副執行秘書為當然委員，其餘委員由總統聘請相關領域具卓越貢獻人士擔任。</w:t>
      </w:r>
    </w:p>
    <w:p w:rsidR="00A522BA" w:rsidRDefault="00892677">
      <w:pPr>
        <w:pStyle w:val="a5"/>
        <w:numPr>
          <w:ilvl w:val="0"/>
          <w:numId w:val="3"/>
        </w:numPr>
        <w:snapToGrid w:val="0"/>
        <w:spacing w:line="276" w:lineRule="auto"/>
        <w:ind w:left="1276" w:hanging="709"/>
        <w:jc w:val="both"/>
      </w:pPr>
      <w:r>
        <w:rPr>
          <w:rFonts w:ascii="標楷體" w:eastAsia="標楷體" w:hAnsi="標楷體"/>
          <w:sz w:val="28"/>
          <w:szCs w:val="28"/>
        </w:rPr>
        <w:t>委員聘期二</w:t>
      </w:r>
      <w:r>
        <w:rPr>
          <w:rFonts w:ascii="標楷體" w:eastAsia="標楷體" w:hAnsi="標楷體"/>
          <w:sz w:val="28"/>
          <w:szCs w:val="28"/>
        </w:rPr>
        <w:t>年，期滿得予續聘，均為無給職；除當然委員</w:t>
      </w:r>
      <w:r>
        <w:rPr>
          <w:rFonts w:ascii="標楷體" w:eastAsia="標楷體" w:hAnsi="標楷體"/>
          <w:sz w:val="28"/>
          <w:szCs w:val="28"/>
          <w:lang w:eastAsia="zh-HK"/>
        </w:rPr>
        <w:t>本職異動時應隨本職進退</w:t>
      </w:r>
      <w:r>
        <w:rPr>
          <w:rFonts w:ascii="標楷體" w:eastAsia="標楷體" w:hAnsi="標楷體"/>
          <w:sz w:val="28"/>
          <w:szCs w:val="28"/>
        </w:rPr>
        <w:t>外，其餘委員不因職務異動而改聘。於聘任期間因故出缺者，依前款規定方式補聘之，其任期至原任期屆滿為止。</w:t>
      </w:r>
    </w:p>
    <w:p w:rsidR="00A522BA" w:rsidRDefault="00892677">
      <w:pPr>
        <w:pStyle w:val="a5"/>
        <w:numPr>
          <w:ilvl w:val="0"/>
          <w:numId w:val="3"/>
        </w:numPr>
        <w:snapToGrid w:val="0"/>
        <w:spacing w:line="276" w:lineRule="auto"/>
        <w:ind w:left="1275" w:hanging="675"/>
        <w:jc w:val="both"/>
      </w:pPr>
      <w:r>
        <w:rPr>
          <w:rFonts w:ascii="標楷體" w:eastAsia="標楷體" w:hAnsi="標楷體"/>
          <w:sz w:val="28"/>
          <w:szCs w:val="28"/>
        </w:rPr>
        <w:t>本委員會會議由召集人視需要召集，並擔任主席；召集人因故不能出席時，由副召集人代理之；副召集人因故不能出席時，應指定委員一人代理之。委員因故不克出席會議，得以書面委託其所屬機關人員或其他委員一人代理出席。代理人得就會議事項行使各項會議權利，並得對會議臨時事宜全權處理。</w:t>
      </w:r>
    </w:p>
    <w:p w:rsidR="00A522BA" w:rsidRDefault="00892677">
      <w:pPr>
        <w:pStyle w:val="a5"/>
        <w:numPr>
          <w:ilvl w:val="0"/>
          <w:numId w:val="3"/>
        </w:numPr>
        <w:snapToGrid w:val="0"/>
        <w:spacing w:line="276" w:lineRule="auto"/>
        <w:ind w:left="1275" w:hanging="675"/>
        <w:jc w:val="both"/>
      </w:pPr>
      <w:r>
        <w:rPr>
          <w:rFonts w:ascii="標楷體" w:eastAsia="標楷體" w:hAnsi="標楷體" w:cs="Arial"/>
          <w:sz w:val="28"/>
          <w:szCs w:val="28"/>
        </w:rPr>
        <w:t>本委員會應有三分之二以上委員出席，始得召開；會議決議應經出席委員二分之一以上之同</w:t>
      </w:r>
      <w:r>
        <w:rPr>
          <w:rFonts w:ascii="標楷體" w:eastAsia="標楷體" w:hAnsi="標楷體" w:cs="Arial"/>
          <w:sz w:val="28"/>
          <w:szCs w:val="28"/>
        </w:rPr>
        <w:t>意，始得通過。</w:t>
      </w:r>
    </w:p>
    <w:p w:rsidR="00A522BA" w:rsidRDefault="00892677">
      <w:pPr>
        <w:pStyle w:val="a5"/>
        <w:numPr>
          <w:ilvl w:val="0"/>
          <w:numId w:val="27"/>
        </w:numPr>
        <w:snapToGrid w:val="0"/>
        <w:spacing w:line="276" w:lineRule="auto"/>
        <w:jc w:val="both"/>
      </w:pPr>
      <w:r>
        <w:rPr>
          <w:rFonts w:ascii="標楷體" w:eastAsia="標楷體" w:hAnsi="標楷體" w:cs="Arial"/>
          <w:sz w:val="28"/>
          <w:szCs w:val="28"/>
        </w:rPr>
        <w:t>本</w:t>
      </w:r>
      <w:r>
        <w:rPr>
          <w:rFonts w:ascii="標楷體" w:eastAsia="標楷體" w:hAnsi="標楷體"/>
          <w:sz w:val="28"/>
          <w:szCs w:val="28"/>
        </w:rPr>
        <w:t>競賽</w:t>
      </w:r>
      <w:r>
        <w:rPr>
          <w:rFonts w:ascii="標楷體" w:eastAsia="標楷體" w:hAnsi="標楷體" w:cs="Arial"/>
          <w:sz w:val="28"/>
          <w:szCs w:val="28"/>
        </w:rPr>
        <w:t>之評選程序如下：</w:t>
      </w:r>
    </w:p>
    <w:p w:rsidR="00A522BA" w:rsidRDefault="00892677">
      <w:pPr>
        <w:pStyle w:val="a5"/>
        <w:numPr>
          <w:ilvl w:val="0"/>
          <w:numId w:val="28"/>
        </w:numPr>
        <w:snapToGrid w:val="0"/>
        <w:spacing w:line="276" w:lineRule="auto"/>
        <w:ind w:left="1274" w:hanging="662"/>
        <w:jc w:val="both"/>
      </w:pPr>
      <w:r>
        <w:rPr>
          <w:rFonts w:ascii="標楷體" w:eastAsia="標楷體" w:hAnsi="標楷體" w:cs="Arial"/>
          <w:sz w:val="28"/>
          <w:szCs w:val="28"/>
        </w:rPr>
        <w:t>為辦理本</w:t>
      </w:r>
      <w:r>
        <w:rPr>
          <w:rFonts w:ascii="標楷體" w:eastAsia="標楷體" w:hAnsi="標楷體"/>
          <w:sz w:val="28"/>
          <w:szCs w:val="28"/>
        </w:rPr>
        <w:t>競賽之評選作業，設立評選委員會，委員十三人至十五人，其中召集人由本院指派之政務委員擔任；其餘委員由本委員會聘請適當人員擔任；任一性別不得少於委員總數三分之一。評選委員會會議由召集人擔任主席；召集人因故不能出席</w:t>
      </w:r>
      <w:r>
        <w:rPr>
          <w:rFonts w:ascii="標楷體" w:eastAsia="標楷體" w:hAnsi="標楷體"/>
          <w:sz w:val="28"/>
          <w:szCs w:val="28"/>
        </w:rPr>
        <w:lastRenderedPageBreak/>
        <w:t>時，應指定委員一人代理之。</w:t>
      </w:r>
    </w:p>
    <w:p w:rsidR="00A522BA" w:rsidRDefault="00892677">
      <w:pPr>
        <w:pStyle w:val="a5"/>
        <w:numPr>
          <w:ilvl w:val="0"/>
          <w:numId w:val="8"/>
        </w:numPr>
        <w:snapToGrid w:val="0"/>
        <w:spacing w:line="276" w:lineRule="auto"/>
        <w:ind w:left="1082" w:hanging="482"/>
        <w:jc w:val="both"/>
      </w:pPr>
      <w:r>
        <w:rPr>
          <w:rFonts w:ascii="標楷體" w:eastAsia="標楷體" w:hAnsi="標楷體" w:cs="Arial"/>
          <w:sz w:val="28"/>
          <w:szCs w:val="28"/>
        </w:rPr>
        <w:t>評選方式：</w:t>
      </w:r>
    </w:p>
    <w:p w:rsidR="00A522BA" w:rsidRDefault="00892677">
      <w:pPr>
        <w:pStyle w:val="a5"/>
        <w:numPr>
          <w:ilvl w:val="0"/>
          <w:numId w:val="29"/>
        </w:numPr>
        <w:snapToGrid w:val="0"/>
        <w:spacing w:line="276" w:lineRule="auto"/>
        <w:jc w:val="both"/>
      </w:pPr>
      <w:r>
        <w:rPr>
          <w:rFonts w:ascii="標楷體" w:eastAsia="標楷體" w:hAnsi="標楷體"/>
          <w:sz w:val="28"/>
          <w:szCs w:val="28"/>
        </w:rPr>
        <w:t>參賽資格：</w:t>
      </w:r>
      <w:r>
        <w:rPr>
          <w:rFonts w:ascii="標楷體" w:eastAsia="標楷體" w:hAnsi="標楷體" w:cs="Times New Roman"/>
          <w:sz w:val="28"/>
          <w:szCs w:val="28"/>
        </w:rPr>
        <w:t>政府機關或其所屬人員，得以機關或個人名</w:t>
      </w:r>
      <w:r>
        <w:rPr>
          <w:rFonts w:ascii="標楷體" w:eastAsia="標楷體" w:hAnsi="標楷體"/>
          <w:sz w:val="28"/>
          <w:szCs w:val="28"/>
        </w:rPr>
        <w:t>義報名；</w:t>
      </w:r>
      <w:r>
        <w:rPr>
          <w:rFonts w:ascii="標楷體" w:eastAsia="標楷體" w:hAnsi="標楷體" w:cs="Times New Roman"/>
          <w:sz w:val="28"/>
          <w:szCs w:val="28"/>
        </w:rPr>
        <w:t>非政府機關或其所屬人員，得提出與本競賽議題相關之明確提案，組成團隊報名</w:t>
      </w:r>
      <w:r>
        <w:rPr>
          <w:rFonts w:ascii="標楷體" w:eastAsia="標楷體" w:hAnsi="標楷體"/>
          <w:sz w:val="28"/>
          <w:szCs w:val="28"/>
        </w:rPr>
        <w:t>。</w:t>
      </w:r>
    </w:p>
    <w:p w:rsidR="00A522BA" w:rsidRDefault="00892677">
      <w:pPr>
        <w:pStyle w:val="a5"/>
        <w:numPr>
          <w:ilvl w:val="0"/>
          <w:numId w:val="10"/>
        </w:numPr>
        <w:snapToGrid w:val="0"/>
        <w:spacing w:line="276" w:lineRule="auto"/>
        <w:ind w:left="1604" w:hanging="357"/>
        <w:jc w:val="both"/>
      </w:pPr>
      <w:r>
        <w:rPr>
          <w:rFonts w:ascii="標楷體" w:eastAsia="標楷體" w:hAnsi="標楷體"/>
          <w:sz w:val="28"/>
          <w:szCs w:val="28"/>
        </w:rPr>
        <w:t>報名方式：參賽團隊應於本競賽報名受理期間內，於活動網站（</w:t>
      </w:r>
      <w:r>
        <w:rPr>
          <w:rFonts w:ascii="Times New Roman" w:hAnsi="Times New Roman" w:cs="Times New Roman"/>
          <w:sz w:val="28"/>
          <w:szCs w:val="28"/>
          <w:shd w:val="clear" w:color="auto" w:fill="FFFFFF"/>
        </w:rPr>
        <w:t>https://presidential-hackathon.taiwan.gov.tw</w:t>
      </w:r>
      <w:r>
        <w:rPr>
          <w:rFonts w:ascii="標楷體" w:eastAsia="標楷體" w:hAnsi="標楷體"/>
          <w:sz w:val="28"/>
          <w:szCs w:val="28"/>
        </w:rPr>
        <w:t>）完成報名；詳細報名規定每年公</w:t>
      </w:r>
      <w:r>
        <w:rPr>
          <w:rFonts w:ascii="標楷體" w:eastAsia="標楷體" w:hAnsi="標楷體"/>
          <w:sz w:val="28"/>
          <w:szCs w:val="28"/>
          <w:lang w:eastAsia="zh-HK"/>
        </w:rPr>
        <w:t>告</w:t>
      </w:r>
      <w:r>
        <w:rPr>
          <w:rFonts w:ascii="標楷體" w:eastAsia="標楷體" w:hAnsi="標楷體"/>
          <w:sz w:val="28"/>
          <w:szCs w:val="28"/>
        </w:rPr>
        <w:t>於活動網站。</w:t>
      </w:r>
    </w:p>
    <w:p w:rsidR="00A522BA" w:rsidRDefault="00892677">
      <w:pPr>
        <w:pStyle w:val="a5"/>
        <w:numPr>
          <w:ilvl w:val="0"/>
          <w:numId w:val="10"/>
        </w:numPr>
        <w:snapToGrid w:val="0"/>
        <w:spacing w:line="276" w:lineRule="auto"/>
        <w:ind w:left="1604" w:hanging="357"/>
        <w:jc w:val="both"/>
      </w:pPr>
      <w:r>
        <w:rPr>
          <w:rFonts w:ascii="標楷體" w:eastAsia="標楷體" w:hAnsi="標楷體"/>
          <w:sz w:val="28"/>
          <w:szCs w:val="28"/>
        </w:rPr>
        <w:t>評選作業由評選委員會以會議審查方式辦理，就報名案逐案進行審查後，提出入選名單，並具體敘明推薦理由。</w:t>
      </w:r>
    </w:p>
    <w:p w:rsidR="00A522BA" w:rsidRDefault="00892677">
      <w:pPr>
        <w:pStyle w:val="a5"/>
        <w:numPr>
          <w:ilvl w:val="0"/>
          <w:numId w:val="10"/>
        </w:numPr>
        <w:snapToGrid w:val="0"/>
        <w:spacing w:line="276" w:lineRule="auto"/>
        <w:ind w:left="1604" w:hanging="357"/>
        <w:jc w:val="both"/>
      </w:pPr>
      <w:r>
        <w:rPr>
          <w:rFonts w:ascii="標楷體" w:eastAsia="標楷體" w:hAnsi="標楷體"/>
          <w:sz w:val="28"/>
          <w:szCs w:val="28"/>
        </w:rPr>
        <w:t>評選</w:t>
      </w:r>
      <w:r>
        <w:rPr>
          <w:rFonts w:ascii="標楷體" w:eastAsia="標楷體" w:hAnsi="標楷體"/>
          <w:sz w:val="28"/>
          <w:szCs w:val="28"/>
          <w:lang w:eastAsia="zh-HK"/>
        </w:rPr>
        <w:t>基</w:t>
      </w:r>
      <w:r>
        <w:rPr>
          <w:rFonts w:ascii="標楷體" w:eastAsia="標楷體" w:hAnsi="標楷體"/>
          <w:sz w:val="28"/>
          <w:szCs w:val="28"/>
        </w:rPr>
        <w:t>準應考量提案之創新性、社會影響力及可行性。</w:t>
      </w:r>
    </w:p>
    <w:p w:rsidR="00A522BA" w:rsidRDefault="00892677">
      <w:pPr>
        <w:pStyle w:val="a5"/>
        <w:numPr>
          <w:ilvl w:val="0"/>
          <w:numId w:val="10"/>
        </w:numPr>
        <w:snapToGrid w:val="0"/>
        <w:spacing w:line="276" w:lineRule="auto"/>
        <w:ind w:left="1604" w:hanging="357"/>
        <w:jc w:val="both"/>
      </w:pPr>
      <w:r>
        <w:rPr>
          <w:rFonts w:ascii="標楷體" w:eastAsia="標楷體" w:hAnsi="標楷體"/>
          <w:sz w:val="28"/>
          <w:szCs w:val="28"/>
        </w:rPr>
        <w:t>得獎名單由本委員會會同評選委員會召集人召開聯席會議，就評</w:t>
      </w:r>
      <w:r>
        <w:rPr>
          <w:rFonts w:ascii="標楷體" w:eastAsia="標楷體" w:hAnsi="標楷體"/>
          <w:sz w:val="28"/>
          <w:szCs w:val="28"/>
          <w:lang w:eastAsia="zh-HK"/>
        </w:rPr>
        <w:t>選</w:t>
      </w:r>
      <w:r>
        <w:rPr>
          <w:rFonts w:ascii="標楷體" w:eastAsia="標楷體" w:hAnsi="標楷體"/>
          <w:sz w:val="28"/>
          <w:szCs w:val="28"/>
        </w:rPr>
        <w:t>委員會提出之入選名單共同決定之。</w:t>
      </w:r>
    </w:p>
    <w:p w:rsidR="00A522BA" w:rsidRDefault="00892677">
      <w:pPr>
        <w:pStyle w:val="a5"/>
        <w:numPr>
          <w:ilvl w:val="0"/>
          <w:numId w:val="10"/>
        </w:numPr>
        <w:snapToGrid w:val="0"/>
        <w:spacing w:line="276" w:lineRule="auto"/>
        <w:ind w:left="1604" w:hanging="357"/>
        <w:jc w:val="both"/>
      </w:pPr>
      <w:r>
        <w:rPr>
          <w:rFonts w:ascii="標楷體" w:eastAsia="標楷體" w:hAnsi="標楷體"/>
          <w:sz w:val="28"/>
          <w:szCs w:val="28"/>
        </w:rPr>
        <w:t>聯席會議由本委員會召集人召集，並擔任主席；召集人因故不能出席時，由副召集人代理之；副召集人因故不能出席時，應指定本委員會委員一人代理之。</w:t>
      </w:r>
      <w:r>
        <w:rPr>
          <w:rFonts w:ascii="標楷體" w:eastAsia="標楷體" w:hAnsi="標楷體"/>
          <w:sz w:val="28"/>
          <w:szCs w:val="28"/>
        </w:rPr>
        <w:t>評選委員會召集人因故不克出席聯席會議時，得以書面委託評選委員會其他委員一人代理出席；除評選委員會召集人外，其他委員不得委託他人代理出席聯席會議。聯席會議進行中，出席委員因故提前離席者，視為放棄其表決權，並不得委託其他出席委員代理行使表決權。</w:t>
      </w:r>
    </w:p>
    <w:p w:rsidR="00A522BA" w:rsidRDefault="00892677">
      <w:pPr>
        <w:pStyle w:val="a5"/>
        <w:numPr>
          <w:ilvl w:val="0"/>
          <w:numId w:val="10"/>
        </w:numPr>
        <w:snapToGrid w:val="0"/>
        <w:spacing w:line="276" w:lineRule="auto"/>
        <w:ind w:left="1604" w:hanging="357"/>
        <w:jc w:val="both"/>
      </w:pPr>
      <w:r>
        <w:rPr>
          <w:rFonts w:ascii="標楷體" w:eastAsia="標楷體" w:hAnsi="標楷體"/>
          <w:sz w:val="28"/>
          <w:szCs w:val="28"/>
        </w:rPr>
        <w:t>聯席會議召開時，專家輔導團召集人得列席說明。</w:t>
      </w:r>
    </w:p>
    <w:p w:rsidR="00A522BA" w:rsidRDefault="00892677">
      <w:pPr>
        <w:pStyle w:val="a5"/>
        <w:numPr>
          <w:ilvl w:val="0"/>
          <w:numId w:val="10"/>
        </w:numPr>
        <w:snapToGrid w:val="0"/>
        <w:spacing w:line="276" w:lineRule="auto"/>
        <w:ind w:left="1604" w:hanging="357"/>
        <w:jc w:val="both"/>
      </w:pPr>
      <w:r>
        <w:rPr>
          <w:rFonts w:ascii="標楷體" w:eastAsia="標楷體" w:hAnsi="標楷體"/>
          <w:sz w:val="28"/>
          <w:szCs w:val="28"/>
        </w:rPr>
        <w:t>評選委員會會議及聯席會議應有三分之二以上委員出席，始得召開；會議決議應經出席委員二分之一以上之同意，始得通過。</w:t>
      </w:r>
    </w:p>
    <w:p w:rsidR="00A522BA" w:rsidRDefault="00892677">
      <w:pPr>
        <w:pStyle w:val="a5"/>
        <w:numPr>
          <w:ilvl w:val="0"/>
          <w:numId w:val="10"/>
        </w:numPr>
        <w:snapToGrid w:val="0"/>
        <w:spacing w:line="276" w:lineRule="auto"/>
        <w:ind w:left="1604" w:hanging="357"/>
        <w:jc w:val="both"/>
      </w:pPr>
      <w:r>
        <w:rPr>
          <w:rFonts w:ascii="標楷體" w:eastAsia="標楷體" w:hAnsi="標楷體"/>
          <w:sz w:val="28"/>
          <w:szCs w:val="28"/>
        </w:rPr>
        <w:t>本競賽評選結果如無適當得獎團隊時，得獎名單得予從缺。</w:t>
      </w:r>
    </w:p>
    <w:p w:rsidR="00A522BA" w:rsidRDefault="00892677">
      <w:pPr>
        <w:pStyle w:val="a5"/>
        <w:numPr>
          <w:ilvl w:val="0"/>
          <w:numId w:val="30"/>
        </w:numPr>
        <w:snapToGrid w:val="0"/>
        <w:spacing w:line="276" w:lineRule="auto"/>
        <w:ind w:left="566" w:hanging="566"/>
        <w:jc w:val="both"/>
      </w:pPr>
      <w:r>
        <w:rPr>
          <w:rFonts w:ascii="標楷體" w:eastAsia="標楷體" w:hAnsi="標楷體" w:cs="Arial"/>
          <w:sz w:val="28"/>
          <w:szCs w:val="28"/>
        </w:rPr>
        <w:t>本競賽</w:t>
      </w:r>
      <w:r>
        <w:rPr>
          <w:rFonts w:ascii="標楷體" w:eastAsia="標楷體" w:hAnsi="標楷體"/>
          <w:sz w:val="28"/>
          <w:szCs w:val="28"/>
        </w:rPr>
        <w:t>每年辦理一次，得獎團隊名額及頒獎方式，由本委員會另定</w:t>
      </w:r>
      <w:r>
        <w:rPr>
          <w:rFonts w:ascii="標楷體" w:eastAsia="標楷體" w:hAnsi="標楷體"/>
          <w:sz w:val="28"/>
          <w:szCs w:val="28"/>
        </w:rPr>
        <w:t>之。</w:t>
      </w:r>
    </w:p>
    <w:p w:rsidR="00A522BA" w:rsidRDefault="00892677">
      <w:pPr>
        <w:pStyle w:val="a5"/>
        <w:numPr>
          <w:ilvl w:val="0"/>
          <w:numId w:val="2"/>
        </w:numPr>
        <w:snapToGrid w:val="0"/>
        <w:spacing w:line="276" w:lineRule="auto"/>
        <w:jc w:val="both"/>
      </w:pPr>
      <w:r>
        <w:rPr>
          <w:rFonts w:ascii="標楷體" w:eastAsia="標楷體" w:hAnsi="標楷體" w:cs="Arial"/>
          <w:sz w:val="28"/>
          <w:szCs w:val="28"/>
        </w:rPr>
        <w:t>輔導程序：</w:t>
      </w:r>
    </w:p>
    <w:p w:rsidR="00A522BA" w:rsidRDefault="00892677">
      <w:pPr>
        <w:pStyle w:val="a5"/>
        <w:numPr>
          <w:ilvl w:val="0"/>
          <w:numId w:val="31"/>
        </w:numPr>
        <w:snapToGrid w:val="0"/>
        <w:spacing w:line="276" w:lineRule="auto"/>
        <w:ind w:left="1274" w:hanging="626"/>
        <w:jc w:val="both"/>
      </w:pPr>
      <w:r>
        <w:rPr>
          <w:rFonts w:ascii="標楷體" w:eastAsia="標楷體" w:hAnsi="標楷體"/>
          <w:sz w:val="28"/>
          <w:szCs w:val="28"/>
        </w:rPr>
        <w:t>為辦理本競賽參賽及得獎團隊之輔導作業，設立專家輔導團，委員十三人至十五人，其中召集人一人，由本院指派之政務委員擔任，其餘委員由本委員會聘請適當人員或曾得獎之團隊成員擔任。</w:t>
      </w:r>
    </w:p>
    <w:p w:rsidR="00A522BA" w:rsidRDefault="00892677">
      <w:pPr>
        <w:pStyle w:val="a5"/>
        <w:numPr>
          <w:ilvl w:val="0"/>
          <w:numId w:val="32"/>
        </w:numPr>
        <w:snapToGrid w:val="0"/>
        <w:spacing w:line="276" w:lineRule="auto"/>
        <w:ind w:left="1082" w:hanging="482"/>
        <w:jc w:val="both"/>
      </w:pPr>
      <w:r>
        <w:rPr>
          <w:rFonts w:ascii="標楷體" w:eastAsia="標楷體" w:hAnsi="標楷體" w:cs="Arial"/>
          <w:sz w:val="28"/>
          <w:szCs w:val="28"/>
        </w:rPr>
        <w:lastRenderedPageBreak/>
        <w:t>輔導方式：</w:t>
      </w:r>
    </w:p>
    <w:p w:rsidR="00A522BA" w:rsidRDefault="00892677">
      <w:pPr>
        <w:pStyle w:val="a5"/>
        <w:numPr>
          <w:ilvl w:val="0"/>
          <w:numId w:val="33"/>
        </w:numPr>
        <w:snapToGrid w:val="0"/>
        <w:spacing w:line="276" w:lineRule="auto"/>
        <w:ind w:left="1604" w:hanging="357"/>
        <w:jc w:val="both"/>
      </w:pPr>
      <w:r>
        <w:rPr>
          <w:rFonts w:ascii="標楷體" w:eastAsia="標楷體" w:hAnsi="標楷體"/>
          <w:sz w:val="28"/>
          <w:szCs w:val="28"/>
        </w:rPr>
        <w:t>參賽團隊之輔導作業由專家輔導團以工作坊方式辦理，於參賽期間協助導入領域資料專家能量及進行概念驗證。</w:t>
      </w:r>
    </w:p>
    <w:p w:rsidR="00A522BA" w:rsidRDefault="00892677">
      <w:pPr>
        <w:pStyle w:val="a5"/>
        <w:numPr>
          <w:ilvl w:val="0"/>
          <w:numId w:val="23"/>
        </w:numPr>
        <w:snapToGrid w:val="0"/>
        <w:spacing w:line="276" w:lineRule="auto"/>
        <w:ind w:left="1604" w:hanging="357"/>
        <w:jc w:val="both"/>
      </w:pPr>
      <w:r>
        <w:rPr>
          <w:rFonts w:ascii="標楷體" w:eastAsia="標楷體" w:hAnsi="標楷體"/>
          <w:sz w:val="28"/>
          <w:szCs w:val="28"/>
        </w:rPr>
        <w:t>得獎團隊之輔導作業由專家輔導團以工作坊或其他方式辦理，於得獎後持續提供領域資料專家等顧問輔導及進行服務驗證或營運驗證。</w:t>
      </w:r>
    </w:p>
    <w:p w:rsidR="00A522BA" w:rsidRDefault="00892677">
      <w:pPr>
        <w:pStyle w:val="a5"/>
        <w:numPr>
          <w:ilvl w:val="0"/>
          <w:numId w:val="34"/>
        </w:numPr>
        <w:snapToGrid w:val="0"/>
        <w:spacing w:line="276" w:lineRule="auto"/>
        <w:ind w:left="624" w:hanging="624"/>
        <w:jc w:val="both"/>
      </w:pPr>
      <w:r>
        <w:rPr>
          <w:rFonts w:ascii="標楷體" w:eastAsia="標楷體" w:hAnsi="標楷體"/>
          <w:sz w:val="28"/>
          <w:szCs w:val="28"/>
        </w:rPr>
        <w:t>本委員會、評選委員會及專家輔導團之委員出席會議及辦理本競賽相關事務，應遵守利益迴避原則；委員於聘任期間不得參加本競賽；因故辭聘者，於原聘任期間亦不得參賽。</w:t>
      </w:r>
    </w:p>
    <w:p w:rsidR="00A522BA" w:rsidRDefault="00892677">
      <w:pPr>
        <w:pStyle w:val="a5"/>
        <w:numPr>
          <w:ilvl w:val="0"/>
          <w:numId w:val="2"/>
        </w:numPr>
        <w:snapToGrid w:val="0"/>
        <w:spacing w:line="276" w:lineRule="auto"/>
        <w:ind w:left="624" w:hanging="624"/>
        <w:jc w:val="both"/>
      </w:pPr>
      <w:r>
        <w:rPr>
          <w:rFonts w:ascii="標楷體" w:eastAsia="標楷體" w:hAnsi="標楷體"/>
          <w:color w:val="000000"/>
          <w:sz w:val="28"/>
          <w:szCs w:val="28"/>
        </w:rPr>
        <w:t>本競賽辦理相關經費</w:t>
      </w:r>
      <w:r>
        <w:rPr>
          <w:rFonts w:ascii="標楷體" w:eastAsia="標楷體" w:hAnsi="標楷體"/>
          <w:sz w:val="28"/>
          <w:szCs w:val="28"/>
        </w:rPr>
        <w:t>，由本院指定之部會編列年度預算支應。</w:t>
      </w:r>
    </w:p>
    <w:sectPr w:rsidR="00A522BA">
      <w:footerReference w:type="default" r:id="rId8"/>
      <w:pgSz w:w="11906" w:h="16838"/>
      <w:pgMar w:top="1440" w:right="1474" w:bottom="1440" w:left="1474" w:header="72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77" w:rsidRDefault="00892677">
      <w:r>
        <w:separator/>
      </w:r>
    </w:p>
  </w:endnote>
  <w:endnote w:type="continuationSeparator" w:id="0">
    <w:p w:rsidR="00892677" w:rsidRDefault="0089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Light">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9E" w:rsidRDefault="00892677">
    <w:pPr>
      <w:pStyle w:val="a7"/>
      <w:jc w:val="cente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5F168F">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77" w:rsidRDefault="00892677">
      <w:r>
        <w:rPr>
          <w:color w:val="000000"/>
        </w:rPr>
        <w:separator/>
      </w:r>
    </w:p>
  </w:footnote>
  <w:footnote w:type="continuationSeparator" w:id="0">
    <w:p w:rsidR="00892677" w:rsidRDefault="00892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87"/>
    <w:multiLevelType w:val="multilevel"/>
    <w:tmpl w:val="46301380"/>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56D36F0"/>
    <w:multiLevelType w:val="multilevel"/>
    <w:tmpl w:val="8E025164"/>
    <w:styleLink w:val="WWNum18"/>
    <w:lvl w:ilvl="0">
      <w:numFmt w:val="bullet"/>
      <w:lvlText w:val="－"/>
      <w:lvlJc w:val="left"/>
      <w:rPr>
        <w:rFonts w:ascii="標楷體" w:eastAsia="標楷體" w:hAnsi="標楷體"/>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rPr>
        <w:rFonts w:ascii="標楷體" w:eastAsia="標楷體" w:hAnsi="標楷體"/>
      </w:rPr>
    </w:lvl>
    <w:lvl w:ilvl="6">
      <w:numFmt w:val="bullet"/>
      <w:lvlText w:val=""/>
      <w:lvlJc w:val="left"/>
    </w:lvl>
    <w:lvl w:ilvl="7">
      <w:numFmt w:val="bullet"/>
      <w:lvlText w:val=""/>
      <w:lvlJc w:val="left"/>
    </w:lvl>
    <w:lvl w:ilvl="8">
      <w:numFmt w:val="bullet"/>
      <w:lvlText w:val=""/>
      <w:lvlJc w:val="left"/>
    </w:lvl>
  </w:abstractNum>
  <w:abstractNum w:abstractNumId="2">
    <w:nsid w:val="20EB0CC6"/>
    <w:multiLevelType w:val="multilevel"/>
    <w:tmpl w:val="84B0FE0C"/>
    <w:styleLink w:val="WWNum22"/>
    <w:lvl w:ilvl="0">
      <w:start w:val="1"/>
      <w:numFmt w:val="decimal"/>
      <w:lvlText w:val="%1."/>
      <w:lvlJc w:val="left"/>
      <w:rPr>
        <w:rFonts w:ascii="標楷體" w:hAnsi="標楷體"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21783650"/>
    <w:multiLevelType w:val="multilevel"/>
    <w:tmpl w:val="BF301A2E"/>
    <w:styleLink w:val="WWNum20"/>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66D561D"/>
    <w:multiLevelType w:val="multilevel"/>
    <w:tmpl w:val="9814D65E"/>
    <w:styleLink w:val="WWNum15"/>
    <w:lvl w:ilvl="0">
      <w:numFmt w:val="bullet"/>
      <w:lvlText w:val="－"/>
      <w:lvlJc w:val="left"/>
      <w:rPr>
        <w:rFonts w:ascii="標楷體" w:eastAsia="標楷體" w:hAnsi="標楷體"/>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rPr>
        <w:rFonts w:ascii="標楷體" w:eastAsia="標楷體" w:hAnsi="標楷體"/>
      </w:rPr>
    </w:lvl>
    <w:lvl w:ilvl="6">
      <w:numFmt w:val="bullet"/>
      <w:lvlText w:val=""/>
      <w:lvlJc w:val="left"/>
    </w:lvl>
    <w:lvl w:ilvl="7">
      <w:numFmt w:val="bullet"/>
      <w:lvlText w:val=""/>
      <w:lvlJc w:val="left"/>
    </w:lvl>
    <w:lvl w:ilvl="8">
      <w:numFmt w:val="bullet"/>
      <w:lvlText w:val=""/>
      <w:lvlJc w:val="left"/>
    </w:lvl>
  </w:abstractNum>
  <w:abstractNum w:abstractNumId="5">
    <w:nsid w:val="306422B5"/>
    <w:multiLevelType w:val="multilevel"/>
    <w:tmpl w:val="81448CE4"/>
    <w:styleLink w:val="WWNum10"/>
    <w:lvl w:ilvl="0">
      <w:start w:val="1"/>
      <w:numFmt w:val="decimal"/>
      <w:lvlText w:val="(%1)"/>
      <w:lvlJc w:val="left"/>
      <w:rPr>
        <w:rFonts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31083260"/>
    <w:multiLevelType w:val="multilevel"/>
    <w:tmpl w:val="A4D6142A"/>
    <w:styleLink w:val="WWNum8"/>
    <w:lvl w:ilvl="0">
      <w:start w:val="1"/>
      <w:numFmt w:val="decimal"/>
      <w:lvlText w:val="%1."/>
      <w:lvlJc w:val="left"/>
      <w:rPr>
        <w:rFonts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3C1A641C"/>
    <w:multiLevelType w:val="multilevel"/>
    <w:tmpl w:val="8320F042"/>
    <w:styleLink w:val="WWNum1"/>
    <w:lvl w:ilvl="0">
      <w:start w:val="1"/>
      <w:numFmt w:val="japaneseCounting"/>
      <w:lvlText w:val="%1、"/>
      <w:lvlJc w:val="left"/>
      <w:rPr>
        <w:rFonts w:ascii="標楷體" w:eastAsia="標楷體" w:hAnsi="標楷體"/>
        <w:sz w:val="28"/>
        <w:szCs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3C302BFE"/>
    <w:multiLevelType w:val="multilevel"/>
    <w:tmpl w:val="B97EB774"/>
    <w:styleLink w:val="WWNum16"/>
    <w:lvl w:ilvl="0">
      <w:numFmt w:val="bullet"/>
      <w:lvlText w:val="－"/>
      <w:lvlJc w:val="left"/>
      <w:rPr>
        <w:rFonts w:ascii="標楷體" w:eastAsia="標楷體" w:hAnsi="標楷體"/>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rPr>
        <w:rFonts w:ascii="標楷體" w:eastAsia="標楷體" w:hAnsi="標楷體"/>
      </w:rPr>
    </w:lvl>
    <w:lvl w:ilvl="6">
      <w:numFmt w:val="bullet"/>
      <w:lvlText w:val=""/>
      <w:lvlJc w:val="left"/>
    </w:lvl>
    <w:lvl w:ilvl="7">
      <w:numFmt w:val="bullet"/>
      <w:lvlText w:val=""/>
      <w:lvlJc w:val="left"/>
    </w:lvl>
    <w:lvl w:ilvl="8">
      <w:numFmt w:val="bullet"/>
      <w:lvlText w:val=""/>
      <w:lvlJc w:val="left"/>
    </w:lvl>
  </w:abstractNum>
  <w:abstractNum w:abstractNumId="9">
    <w:nsid w:val="3D33023C"/>
    <w:multiLevelType w:val="multilevel"/>
    <w:tmpl w:val="D1FC3F32"/>
    <w:styleLink w:val="WWNum11"/>
    <w:lvl w:ilvl="0">
      <w:numFmt w:val="bullet"/>
      <w:lvlText w:val="－"/>
      <w:lvlJc w:val="left"/>
      <w:rPr>
        <w:rFonts w:ascii="標楷體" w:eastAsia="標楷體" w:hAnsi="標楷體"/>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3EAA3478"/>
    <w:multiLevelType w:val="multilevel"/>
    <w:tmpl w:val="38741992"/>
    <w:styleLink w:val="WWNum14"/>
    <w:lvl w:ilvl="0">
      <w:numFmt w:val="bullet"/>
      <w:lvlText w:val="－"/>
      <w:lvlJc w:val="left"/>
      <w:rPr>
        <w:rFonts w:ascii="標楷體" w:eastAsia="標楷體" w:hAnsi="標楷體"/>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44EF4C9B"/>
    <w:multiLevelType w:val="multilevel"/>
    <w:tmpl w:val="2C8EA624"/>
    <w:styleLink w:val="WWNum17"/>
    <w:lvl w:ilvl="0">
      <w:numFmt w:val="bullet"/>
      <w:lvlText w:val="－"/>
      <w:lvlJc w:val="left"/>
      <w:rPr>
        <w:rFonts w:ascii="標楷體" w:eastAsia="標楷體" w:hAnsi="標楷體"/>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5D7F139C"/>
    <w:multiLevelType w:val="multilevel"/>
    <w:tmpl w:val="E0BE6F54"/>
    <w:styleLink w:val="WWNum21"/>
    <w:lvl w:ilvl="0">
      <w:start w:val="1"/>
      <w:numFmt w:val="decimal"/>
      <w:lvlText w:val="%1."/>
      <w:lvlJc w:val="left"/>
      <w:rPr>
        <w:rFonts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5DB404D9"/>
    <w:multiLevelType w:val="multilevel"/>
    <w:tmpl w:val="6EC63226"/>
    <w:styleLink w:val="WWNum19"/>
    <w:lvl w:ilvl="0">
      <w:numFmt w:val="bullet"/>
      <w:lvlText w:val="－"/>
      <w:lvlJc w:val="left"/>
      <w:rPr>
        <w:rFonts w:ascii="標楷體" w:eastAsia="標楷體" w:hAnsi="標楷體"/>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rPr>
        <w:rFonts w:ascii="標楷體" w:eastAsia="標楷體" w:hAnsi="標楷體"/>
      </w:rPr>
    </w:lvl>
    <w:lvl w:ilvl="6">
      <w:numFmt w:val="bullet"/>
      <w:lvlText w:val=""/>
      <w:lvlJc w:val="left"/>
    </w:lvl>
    <w:lvl w:ilvl="7">
      <w:numFmt w:val="bullet"/>
      <w:lvlText w:val=""/>
      <w:lvlJc w:val="left"/>
    </w:lvl>
    <w:lvl w:ilvl="8">
      <w:numFmt w:val="bullet"/>
      <w:lvlText w:val=""/>
      <w:lvlJc w:val="left"/>
    </w:lvl>
  </w:abstractNum>
  <w:abstractNum w:abstractNumId="14">
    <w:nsid w:val="66E521B7"/>
    <w:multiLevelType w:val="multilevel"/>
    <w:tmpl w:val="2A58C92A"/>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68F01176"/>
    <w:multiLevelType w:val="multilevel"/>
    <w:tmpl w:val="2452E986"/>
    <w:styleLink w:val="WWNum13"/>
    <w:lvl w:ilvl="0">
      <w:numFmt w:val="bullet"/>
      <w:lvlText w:val="－"/>
      <w:lvlJc w:val="left"/>
      <w:rPr>
        <w:rFonts w:ascii="標楷體" w:eastAsia="標楷體" w:hAnsi="標楷體"/>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rPr>
        <w:rFonts w:ascii="標楷體" w:eastAsia="標楷體" w:hAnsi="標楷體"/>
      </w:rPr>
    </w:lvl>
    <w:lvl w:ilvl="6">
      <w:numFmt w:val="bullet"/>
      <w:lvlText w:val=""/>
      <w:lvlJc w:val="left"/>
    </w:lvl>
    <w:lvl w:ilvl="7">
      <w:numFmt w:val="bullet"/>
      <w:lvlText w:val=""/>
      <w:lvlJc w:val="left"/>
    </w:lvl>
    <w:lvl w:ilvl="8">
      <w:numFmt w:val="bullet"/>
      <w:lvlText w:val=""/>
      <w:lvlJc w:val="left"/>
    </w:lvl>
  </w:abstractNum>
  <w:abstractNum w:abstractNumId="16">
    <w:nsid w:val="6D176768"/>
    <w:multiLevelType w:val="multilevel"/>
    <w:tmpl w:val="941C76CC"/>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6F374F12"/>
    <w:multiLevelType w:val="multilevel"/>
    <w:tmpl w:val="3E722C36"/>
    <w:styleLink w:val="WWNum7"/>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6F40336A"/>
    <w:multiLevelType w:val="multilevel"/>
    <w:tmpl w:val="55364D82"/>
    <w:styleLink w:val="WWNum3"/>
    <w:lvl w:ilvl="0">
      <w:start w:val="1"/>
      <w:numFmt w:val="decimal"/>
      <w:lvlText w:val="%1."/>
      <w:lvlJc w:val="left"/>
      <w:rPr>
        <w:rFonts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703445F1"/>
    <w:multiLevelType w:val="multilevel"/>
    <w:tmpl w:val="E4867EEE"/>
    <w:styleLink w:val="WWNum12"/>
    <w:lvl w:ilvl="0">
      <w:numFmt w:val="bullet"/>
      <w:lvlText w:val="－"/>
      <w:lvlJc w:val="left"/>
      <w:rPr>
        <w:rFonts w:ascii="標楷體" w:eastAsia="標楷體" w:hAnsi="標楷體"/>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rPr>
        <w:rFonts w:ascii="標楷體" w:eastAsia="標楷體" w:hAnsi="標楷體"/>
      </w:rPr>
    </w:lvl>
    <w:lvl w:ilvl="6">
      <w:numFmt w:val="bullet"/>
      <w:lvlText w:val=""/>
      <w:lvlJc w:val="left"/>
    </w:lvl>
    <w:lvl w:ilvl="7">
      <w:numFmt w:val="bullet"/>
      <w:lvlText w:val=""/>
      <w:lvlJc w:val="left"/>
    </w:lvl>
    <w:lvl w:ilvl="8">
      <w:numFmt w:val="bullet"/>
      <w:lvlText w:val=""/>
      <w:lvlJc w:val="left"/>
    </w:lvl>
  </w:abstractNum>
  <w:abstractNum w:abstractNumId="20">
    <w:nsid w:val="706F2719"/>
    <w:multiLevelType w:val="multilevel"/>
    <w:tmpl w:val="5AC6E238"/>
    <w:styleLink w:val="WWNum2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71006E8B"/>
    <w:multiLevelType w:val="multilevel"/>
    <w:tmpl w:val="513E2026"/>
    <w:styleLink w:val="WWNum4"/>
    <w:lvl w:ilvl="0">
      <w:start w:val="1"/>
      <w:numFmt w:val="decimal"/>
      <w:lvlText w:val="%1."/>
      <w:lvlJc w:val="left"/>
      <w:rPr>
        <w:rFonts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74A94192"/>
    <w:multiLevelType w:val="multilevel"/>
    <w:tmpl w:val="7DD4CDDE"/>
    <w:styleLink w:val="WWNum9"/>
    <w:lvl w:ilvl="0">
      <w:start w:val="1"/>
      <w:numFmt w:val="decimal"/>
      <w:lvlText w:val="%1."/>
      <w:lvlJc w:val="left"/>
      <w:rPr>
        <w:rFonts w:ascii="標楷體" w:hAnsi="標楷體"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7CD70D48"/>
    <w:multiLevelType w:val="multilevel"/>
    <w:tmpl w:val="4F445DCC"/>
    <w:styleLink w:val="WW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 w:numId="2">
    <w:abstractNumId w:val="7"/>
  </w:num>
  <w:num w:numId="3">
    <w:abstractNumId w:val="16"/>
  </w:num>
  <w:num w:numId="4">
    <w:abstractNumId w:val="18"/>
  </w:num>
  <w:num w:numId="5">
    <w:abstractNumId w:val="21"/>
  </w:num>
  <w:num w:numId="6">
    <w:abstractNumId w:val="14"/>
  </w:num>
  <w:num w:numId="7">
    <w:abstractNumId w:val="23"/>
  </w:num>
  <w:num w:numId="8">
    <w:abstractNumId w:val="17"/>
  </w:num>
  <w:num w:numId="9">
    <w:abstractNumId w:val="6"/>
  </w:num>
  <w:num w:numId="10">
    <w:abstractNumId w:val="22"/>
  </w:num>
  <w:num w:numId="11">
    <w:abstractNumId w:val="5"/>
  </w:num>
  <w:num w:numId="12">
    <w:abstractNumId w:val="9"/>
  </w:num>
  <w:num w:numId="13">
    <w:abstractNumId w:val="19"/>
  </w:num>
  <w:num w:numId="14">
    <w:abstractNumId w:val="15"/>
  </w:num>
  <w:num w:numId="15">
    <w:abstractNumId w:val="10"/>
  </w:num>
  <w:num w:numId="16">
    <w:abstractNumId w:val="4"/>
  </w:num>
  <w:num w:numId="17">
    <w:abstractNumId w:val="8"/>
  </w:num>
  <w:num w:numId="18">
    <w:abstractNumId w:val="11"/>
  </w:num>
  <w:num w:numId="19">
    <w:abstractNumId w:val="1"/>
  </w:num>
  <w:num w:numId="20">
    <w:abstractNumId w:val="13"/>
  </w:num>
  <w:num w:numId="21">
    <w:abstractNumId w:val="3"/>
  </w:num>
  <w:num w:numId="22">
    <w:abstractNumId w:val="12"/>
  </w:num>
  <w:num w:numId="23">
    <w:abstractNumId w:val="2"/>
  </w:num>
  <w:num w:numId="24">
    <w:abstractNumId w:val="20"/>
  </w:num>
  <w:num w:numId="25">
    <w:abstractNumId w:val="7"/>
    <w:lvlOverride w:ilvl="0">
      <w:startOverride w:val="1"/>
    </w:lvlOverride>
  </w:num>
  <w:num w:numId="26">
    <w:abstractNumId w:val="16"/>
    <w:lvlOverride w:ilvl="0">
      <w:startOverride w:val="1"/>
    </w:lvlOverride>
  </w:num>
  <w:num w:numId="27">
    <w:abstractNumId w:val="7"/>
    <w:lvlOverride w:ilvl="0">
      <w:startOverride w:val="1"/>
    </w:lvlOverride>
  </w:num>
  <w:num w:numId="28">
    <w:abstractNumId w:val="17"/>
    <w:lvlOverride w:ilvl="0">
      <w:startOverride w:val="1"/>
    </w:lvlOverride>
  </w:num>
  <w:num w:numId="29">
    <w:abstractNumId w:val="22"/>
    <w:lvlOverride w:ilvl="0">
      <w:startOverride w:val="1"/>
    </w:lvlOverride>
  </w:num>
  <w:num w:numId="30">
    <w:abstractNumId w:val="7"/>
    <w:lvlOverride w:ilvl="0">
      <w:startOverride w:val="1"/>
    </w:lvlOverride>
  </w:num>
  <w:num w:numId="31">
    <w:abstractNumId w:val="3"/>
    <w:lvlOverride w:ilvl="0">
      <w:startOverride w:val="1"/>
    </w:lvlOverride>
  </w:num>
  <w:num w:numId="32">
    <w:abstractNumId w:val="20"/>
    <w:lvlOverride w:ilvl="0">
      <w:startOverride w:val="1"/>
    </w:lvlOverride>
  </w:num>
  <w:num w:numId="33">
    <w:abstractNumId w:val="2"/>
    <w:lvlOverride w:ilvl="0">
      <w:startOverride w:val="1"/>
    </w:lvlOverride>
  </w:num>
  <w:num w:numId="3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22BA"/>
    <w:rsid w:val="005F168F"/>
    <w:rsid w:val="00892677"/>
    <w:rsid w:val="00A522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Internetlink">
    <w:name w:val="Internet link"/>
    <w:basedOn w:val="a0"/>
    <w:rPr>
      <w:color w:val="0563C1"/>
      <w:u w:val="single"/>
    </w:rPr>
  </w:style>
  <w:style w:type="character" w:customStyle="1" w:styleId="UnresolvedMention">
    <w:name w:val="Unresolved Mention"/>
    <w:basedOn w:val="a0"/>
    <w:rPr>
      <w:color w:val="605E5C"/>
      <w:shd w:val="clear" w:color="auto" w:fill="E1DFDD"/>
    </w:rPr>
  </w:style>
  <w:style w:type="character" w:customStyle="1" w:styleId="ab">
    <w:name w:val="註解方塊文字 字元"/>
    <w:basedOn w:val="a0"/>
    <w:rPr>
      <w:rFonts w:ascii="Calibri Light" w:eastAsia="新細明體" w:hAnsi="Calibri Light" w:cs="F"/>
      <w:sz w:val="18"/>
      <w:szCs w:val="18"/>
    </w:rPr>
  </w:style>
  <w:style w:type="character" w:customStyle="1" w:styleId="ListLabel1">
    <w:name w:val="ListLabel 1"/>
    <w:rPr>
      <w:rFonts w:ascii="標楷體" w:eastAsia="標楷體" w:hAnsi="標楷體"/>
      <w:sz w:val="28"/>
      <w:szCs w:val="28"/>
      <w:lang w:val="en-US"/>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ascii="標楷體" w:hAnsi="標楷體" w:cs="Times New Roman"/>
      <w:sz w:val="28"/>
    </w:rPr>
  </w:style>
  <w:style w:type="character" w:customStyle="1" w:styleId="ListLabel6">
    <w:name w:val="ListLabel 6"/>
    <w:rPr>
      <w:rFonts w:cs="Times New Roman"/>
    </w:rPr>
  </w:style>
  <w:style w:type="character" w:customStyle="1" w:styleId="ListLabel7">
    <w:name w:val="ListLabel 7"/>
    <w:rPr>
      <w:rFonts w:eastAsia="標楷體"/>
    </w:rPr>
  </w:style>
  <w:style w:type="character" w:customStyle="1" w:styleId="ListLabel8">
    <w:name w:val="ListLabel 8"/>
    <w:rPr>
      <w:rFonts w:eastAsia="標楷體"/>
    </w:rPr>
  </w:style>
  <w:style w:type="character" w:customStyle="1" w:styleId="ListLabel9">
    <w:name w:val="ListLabel 9"/>
    <w:rPr>
      <w:rFonts w:eastAsia="標楷體"/>
    </w:rPr>
  </w:style>
  <w:style w:type="character" w:customStyle="1" w:styleId="ListLabel10">
    <w:name w:val="ListLabel 10"/>
    <w:rPr>
      <w:rFonts w:eastAsia="標楷體"/>
    </w:rPr>
  </w:style>
  <w:style w:type="character" w:customStyle="1" w:styleId="ListLabel11">
    <w:name w:val="ListLabel 11"/>
    <w:rPr>
      <w:rFonts w:eastAsia="標楷體"/>
    </w:rPr>
  </w:style>
  <w:style w:type="character" w:customStyle="1" w:styleId="ListLabel12">
    <w:name w:val="ListLabel 12"/>
    <w:rPr>
      <w:rFonts w:eastAsia="標楷體"/>
    </w:rPr>
  </w:style>
  <w:style w:type="character" w:customStyle="1" w:styleId="ListLabel13">
    <w:name w:val="ListLabel 13"/>
    <w:rPr>
      <w:rFonts w:eastAsia="標楷體"/>
    </w:rPr>
  </w:style>
  <w:style w:type="character" w:customStyle="1" w:styleId="ListLabel14">
    <w:name w:val="ListLabel 14"/>
    <w:rPr>
      <w:rFonts w:eastAsia="標楷體"/>
    </w:rPr>
  </w:style>
  <w:style w:type="character" w:customStyle="1" w:styleId="ListLabel15">
    <w:name w:val="ListLabel 15"/>
    <w:rPr>
      <w:rFonts w:eastAsia="標楷體"/>
    </w:rPr>
  </w:style>
  <w:style w:type="character" w:customStyle="1" w:styleId="ListLabel16">
    <w:name w:val="ListLabel 16"/>
    <w:rPr>
      <w:rFonts w:eastAsia="標楷體"/>
    </w:rPr>
  </w:style>
  <w:style w:type="character" w:customStyle="1" w:styleId="ListLabel17">
    <w:name w:val="ListLabel 17"/>
    <w:rPr>
      <w:rFonts w:eastAsia="標楷體"/>
    </w:rPr>
  </w:style>
  <w:style w:type="character" w:customStyle="1" w:styleId="ListLabel18">
    <w:name w:val="ListLabel 18"/>
    <w:rPr>
      <w:rFonts w:eastAsia="標楷體"/>
    </w:rPr>
  </w:style>
  <w:style w:type="character" w:customStyle="1" w:styleId="ListLabel19">
    <w:name w:val="ListLabel 19"/>
    <w:rPr>
      <w:rFonts w:eastAsia="標楷體"/>
    </w:rPr>
  </w:style>
  <w:style w:type="character" w:customStyle="1" w:styleId="ListLabel20">
    <w:name w:val="ListLabel 20"/>
    <w:rPr>
      <w:rFonts w:eastAsia="標楷體"/>
    </w:rPr>
  </w:style>
  <w:style w:type="character" w:customStyle="1" w:styleId="ListLabel21">
    <w:name w:val="ListLabel 21"/>
    <w:rPr>
      <w:rFonts w:eastAsia="標楷體"/>
    </w:rPr>
  </w:style>
  <w:style w:type="character" w:customStyle="1" w:styleId="ListLabel22">
    <w:name w:val="ListLabel 22"/>
    <w:rPr>
      <w:rFonts w:cs="Times New Roman"/>
    </w:rPr>
  </w:style>
  <w:style w:type="character" w:customStyle="1" w:styleId="ListLabel23">
    <w:name w:val="ListLabel 23"/>
    <w:rPr>
      <w:rFonts w:ascii="標楷體" w:hAnsi="標楷體" w:cs="Times New Roman"/>
      <w:sz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Internetlink">
    <w:name w:val="Internet link"/>
    <w:basedOn w:val="a0"/>
    <w:rPr>
      <w:color w:val="0563C1"/>
      <w:u w:val="single"/>
    </w:rPr>
  </w:style>
  <w:style w:type="character" w:customStyle="1" w:styleId="UnresolvedMention">
    <w:name w:val="Unresolved Mention"/>
    <w:basedOn w:val="a0"/>
    <w:rPr>
      <w:color w:val="605E5C"/>
      <w:shd w:val="clear" w:color="auto" w:fill="E1DFDD"/>
    </w:rPr>
  </w:style>
  <w:style w:type="character" w:customStyle="1" w:styleId="ab">
    <w:name w:val="註解方塊文字 字元"/>
    <w:basedOn w:val="a0"/>
    <w:rPr>
      <w:rFonts w:ascii="Calibri Light" w:eastAsia="新細明體" w:hAnsi="Calibri Light" w:cs="F"/>
      <w:sz w:val="18"/>
      <w:szCs w:val="18"/>
    </w:rPr>
  </w:style>
  <w:style w:type="character" w:customStyle="1" w:styleId="ListLabel1">
    <w:name w:val="ListLabel 1"/>
    <w:rPr>
      <w:rFonts w:ascii="標楷體" w:eastAsia="標楷體" w:hAnsi="標楷體"/>
      <w:sz w:val="28"/>
      <w:szCs w:val="28"/>
      <w:lang w:val="en-US"/>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ascii="標楷體" w:hAnsi="標楷體" w:cs="Times New Roman"/>
      <w:sz w:val="28"/>
    </w:rPr>
  </w:style>
  <w:style w:type="character" w:customStyle="1" w:styleId="ListLabel6">
    <w:name w:val="ListLabel 6"/>
    <w:rPr>
      <w:rFonts w:cs="Times New Roman"/>
    </w:rPr>
  </w:style>
  <w:style w:type="character" w:customStyle="1" w:styleId="ListLabel7">
    <w:name w:val="ListLabel 7"/>
    <w:rPr>
      <w:rFonts w:eastAsia="標楷體"/>
    </w:rPr>
  </w:style>
  <w:style w:type="character" w:customStyle="1" w:styleId="ListLabel8">
    <w:name w:val="ListLabel 8"/>
    <w:rPr>
      <w:rFonts w:eastAsia="標楷體"/>
    </w:rPr>
  </w:style>
  <w:style w:type="character" w:customStyle="1" w:styleId="ListLabel9">
    <w:name w:val="ListLabel 9"/>
    <w:rPr>
      <w:rFonts w:eastAsia="標楷體"/>
    </w:rPr>
  </w:style>
  <w:style w:type="character" w:customStyle="1" w:styleId="ListLabel10">
    <w:name w:val="ListLabel 10"/>
    <w:rPr>
      <w:rFonts w:eastAsia="標楷體"/>
    </w:rPr>
  </w:style>
  <w:style w:type="character" w:customStyle="1" w:styleId="ListLabel11">
    <w:name w:val="ListLabel 11"/>
    <w:rPr>
      <w:rFonts w:eastAsia="標楷體"/>
    </w:rPr>
  </w:style>
  <w:style w:type="character" w:customStyle="1" w:styleId="ListLabel12">
    <w:name w:val="ListLabel 12"/>
    <w:rPr>
      <w:rFonts w:eastAsia="標楷體"/>
    </w:rPr>
  </w:style>
  <w:style w:type="character" w:customStyle="1" w:styleId="ListLabel13">
    <w:name w:val="ListLabel 13"/>
    <w:rPr>
      <w:rFonts w:eastAsia="標楷體"/>
    </w:rPr>
  </w:style>
  <w:style w:type="character" w:customStyle="1" w:styleId="ListLabel14">
    <w:name w:val="ListLabel 14"/>
    <w:rPr>
      <w:rFonts w:eastAsia="標楷體"/>
    </w:rPr>
  </w:style>
  <w:style w:type="character" w:customStyle="1" w:styleId="ListLabel15">
    <w:name w:val="ListLabel 15"/>
    <w:rPr>
      <w:rFonts w:eastAsia="標楷體"/>
    </w:rPr>
  </w:style>
  <w:style w:type="character" w:customStyle="1" w:styleId="ListLabel16">
    <w:name w:val="ListLabel 16"/>
    <w:rPr>
      <w:rFonts w:eastAsia="標楷體"/>
    </w:rPr>
  </w:style>
  <w:style w:type="character" w:customStyle="1" w:styleId="ListLabel17">
    <w:name w:val="ListLabel 17"/>
    <w:rPr>
      <w:rFonts w:eastAsia="標楷體"/>
    </w:rPr>
  </w:style>
  <w:style w:type="character" w:customStyle="1" w:styleId="ListLabel18">
    <w:name w:val="ListLabel 18"/>
    <w:rPr>
      <w:rFonts w:eastAsia="標楷體"/>
    </w:rPr>
  </w:style>
  <w:style w:type="character" w:customStyle="1" w:styleId="ListLabel19">
    <w:name w:val="ListLabel 19"/>
    <w:rPr>
      <w:rFonts w:eastAsia="標楷體"/>
    </w:rPr>
  </w:style>
  <w:style w:type="character" w:customStyle="1" w:styleId="ListLabel20">
    <w:name w:val="ListLabel 20"/>
    <w:rPr>
      <w:rFonts w:eastAsia="標楷體"/>
    </w:rPr>
  </w:style>
  <w:style w:type="character" w:customStyle="1" w:styleId="ListLabel21">
    <w:name w:val="ListLabel 21"/>
    <w:rPr>
      <w:rFonts w:eastAsia="標楷體"/>
    </w:rPr>
  </w:style>
  <w:style w:type="character" w:customStyle="1" w:styleId="ListLabel22">
    <w:name w:val="ListLabel 22"/>
    <w:rPr>
      <w:rFonts w:cs="Times New Roman"/>
    </w:rPr>
  </w:style>
  <w:style w:type="character" w:customStyle="1" w:styleId="ListLabel23">
    <w:name w:val="ListLabel 23"/>
    <w:rPr>
      <w:rFonts w:ascii="標楷體" w:hAnsi="標楷體" w:cs="Times New Roman"/>
      <w:sz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廖慧美</dc:creator>
  <cp:lastModifiedBy>TNUA</cp:lastModifiedBy>
  <cp:revision>2</cp:revision>
  <cp:lastPrinted>2019-03-08T01:32:00Z</cp:lastPrinted>
  <dcterms:created xsi:type="dcterms:W3CDTF">2019-03-14T06:12:00Z</dcterms:created>
  <dcterms:modified xsi:type="dcterms:W3CDTF">2019-03-14T06:12:00Z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