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12" w:right="0" w:firstLine="0"/>
      </w:pPr>
      <w:r>
        <w:rPr>
          <w:rFonts w:ascii="PMingLiU" w:hAnsi="PMingLiU" w:cs="PMingLiU" w:eastAsia="PMingLiU"/>
          <w:b/>
          <w:color w:val="000000"/>
          <w:sz w:val="40"/>
          <w:szCs w:val="40"/>
        </w:rPr>
        <w:t>國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立臺北藝術大學</w:t>
      </w:r>
      <w:r>
        <w:rPr>
          <w:rFonts w:ascii="PMingLiU" w:hAnsi="PMingLiU" w:cs="PMingLiU" w:eastAsia="PMingLiU"/>
          <w:sz w:val="44"/>
          <w:szCs w:val="44"/>
          <w:b/>
          <w:spacing w:val="26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10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7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學年度第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學期第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1" w:after="0" w:line="240" w:lineRule="auto"/>
        <w:ind w:left="2978" w:right="0" w:firstLine="0"/>
      </w:pPr>
      <w:r>
        <w:rPr>
          <w:rFonts w:ascii="PMingLiU" w:hAnsi="PMingLiU" w:cs="PMingLiU" w:eastAsia="PMingLiU"/>
          <w:b/>
          <w:color w:val="000000"/>
          <w:sz w:val="44"/>
          <w:szCs w:val="44"/>
        </w:rPr>
        <w:t>校務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研究發展委員會</w:t>
      </w:r>
      <w:r>
        <w:rPr>
          <w:rFonts w:ascii="PMingLiU" w:hAnsi="PMingLiU" w:cs="PMingLiU" w:eastAsia="PMingLiU"/>
          <w:sz w:val="44"/>
          <w:szCs w:val="44"/>
          <w:b/>
          <w:spacing w:val="106"/>
        </w:rPr>
        <w:t> </w:t>
      </w:r>
      <w:r>
        <w:rPr>
          <w:rFonts w:ascii="PMingLiU" w:hAnsi="PMingLiU" w:cs="PMingLiU" w:eastAsia="PMingLiU"/>
          <w:b/>
          <w:color w:val="000000"/>
          <w:spacing w:val="1"/>
          <w:sz w:val="44"/>
          <w:szCs w:val="44"/>
        </w:rPr>
        <w:t>會議</w:t>
      </w:r>
      <w:r>
        <w:rPr>
          <w:rFonts w:ascii="PMingLiU" w:hAnsi="PMingLiU" w:cs="PMingLiU" w:eastAsia="PMingLiU"/>
          <w:b/>
          <w:color w:val="000000"/>
          <w:spacing w:val="2"/>
          <w:sz w:val="44"/>
          <w:szCs w:val="44"/>
        </w:rPr>
        <w:t>紀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錄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16" w:lineRule="auto"/>
        <w:ind w:left="1077" w:right="4803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107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星期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二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14:00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樓會議室</w:t>
      </w:r>
    </w:p>
    <w:p>
      <w:pPr>
        <w:autoSpaceDE w:val="0"/>
        <w:autoSpaceDN w:val="0"/>
        <w:spacing w:before="31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主持人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陳主</w:t>
      </w:r>
      <w:r>
        <w:rPr>
          <w:rFonts w:ascii="PMingLiU" w:hAnsi="PMingLiU" w:cs="PMingLiU" w:eastAsia="PMingLiU"/>
          <w:color w:val="000000"/>
          <w:sz w:val="28"/>
          <w:szCs w:val="28"/>
        </w:rPr>
        <w:t>任委員愷璜</w:t>
      </w:r>
    </w:p>
    <w:p>
      <w:pPr>
        <w:spacing w:before="0" w:after="0" w:line="116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779" w:right="1072" w:firstLine="-1701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出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列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席人員：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李委員葭儀、邱委員顯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洵、林委員宏璋、林委員于竝、戴委員嘉明、</w:t>
      </w:r>
      <w:r>
        <w:rPr>
          <w:rFonts w:ascii="PMingLiU" w:hAnsi="PMingLiU" w:cs="PMingLiU" w:eastAsia="PMingLiU"/>
          <w:color w:val="000000"/>
          <w:spacing w:val="-12"/>
          <w:sz w:val="28"/>
          <w:szCs w:val="28"/>
        </w:rPr>
        <w:t>林委員姿瑩、王委員寶萱、蘇委員顯達、魏委員德樂、林委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員劭仁、</w:t>
      </w:r>
      <w:r>
        <w:rPr>
          <w:rFonts w:ascii="PMingLiU" w:hAnsi="PMingLiU" w:cs="PMingLiU" w:eastAsia="PMingLiU"/>
          <w:color w:val="000000"/>
          <w:sz w:val="28"/>
          <w:szCs w:val="28"/>
        </w:rPr>
        <w:t>王盈勛老師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代理吳懷晨主委</w:t>
      </w:r>
      <w:r>
        <w:rPr>
          <w:rFonts w:ascii="PMingLiU" w:hAnsi="PMingLiU" w:cs="PMingLiU" w:eastAsia="PMingLiU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、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張組長翠琳、顧組長玉玲、林秘書</w:t>
      </w:r>
      <w:r>
        <w:rPr>
          <w:rFonts w:ascii="PMingLiU" w:hAnsi="PMingLiU" w:cs="PMingLiU" w:eastAsia="PMingLiU"/>
          <w:color w:val="000000"/>
          <w:spacing w:val="9"/>
          <w:sz w:val="28"/>
          <w:szCs w:val="28"/>
        </w:rPr>
        <w:t>鳳娥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9"/>
          <w:sz w:val="28"/>
          <w:szCs w:val="28"/>
        </w:rPr>
        <w:t>代理蔡旻樺主任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9"/>
          <w:sz w:val="28"/>
          <w:szCs w:val="28"/>
        </w:rPr>
        <w:t>、許妍甄專員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9"/>
          <w:sz w:val="28"/>
          <w:szCs w:val="28"/>
        </w:rPr>
        <w:t>代理魏心怡主任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)</w:t>
      </w:r>
    </w:p>
    <w:p>
      <w:pPr>
        <w:autoSpaceDE w:val="0"/>
        <w:autoSpaceDN w:val="0"/>
        <w:spacing w:before="2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記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錄：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研發</w:t>
      </w:r>
      <w:r>
        <w:rPr>
          <w:rFonts w:ascii="PMingLiU" w:hAnsi="PMingLiU" w:cs="PMingLiU" w:eastAsia="PMingLiU"/>
          <w:color w:val="000000"/>
          <w:sz w:val="28"/>
          <w:szCs w:val="28"/>
        </w:rPr>
        <w:t>處專員周君霖</w:t>
      </w:r>
    </w:p>
    <w:p>
      <w:pPr>
        <w:spacing w:before="0" w:after="0" w:line="200" w:lineRule="exact"/>
        <w:ind w:left="0" w:right="0"/>
      </w:pPr>
    </w:p>
    <w:p>
      <w:pPr>
        <w:spacing w:before="0" w:after="0" w:line="36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一、</w:t>
      </w:r>
      <w:r>
        <w:rPr>
          <w:rFonts w:ascii="PMingLiU" w:hAnsi="PMingLiU" w:cs="PMingLiU" w:eastAsia="PMingLiU"/>
          <w:sz w:val="28"/>
          <w:szCs w:val="28"/>
          <w:spacing w:val="3"/>
        </w:rPr>
        <w:t> 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召集人報告</w:t>
      </w:r>
      <w:r>
        <w:rPr>
          <w:rFonts w:ascii="PMingLiU" w:hAnsi="PMingLiU" w:cs="PMingLiU" w:eastAsia="PMingLiU"/>
          <w:color w:val="000000"/>
          <w:spacing w:val="15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略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)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二、</w:t>
      </w:r>
      <w:r>
        <w:rPr>
          <w:rFonts w:ascii="PMingLiU" w:hAnsi="PMingLiU" w:cs="PMingLiU" w:eastAsia="PMingLiU"/>
          <w:sz w:val="28"/>
          <w:szCs w:val="28"/>
          <w:spacing w:val="2"/>
        </w:rPr>
        <w:t>  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研發長報告小組會議結論：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略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)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三、</w:t>
      </w:r>
      <w:r>
        <w:rPr>
          <w:rFonts w:ascii="PMingLiU" w:hAnsi="PMingLiU" w:cs="PMingLiU" w:eastAsia="PMingLiU"/>
          <w:sz w:val="28"/>
          <w:szCs w:val="28"/>
          <w:spacing w:val="7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提案討論：</w:t>
      </w: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5"/>
          <w:sz w:val="28"/>
          <w:szCs w:val="28"/>
        </w:rPr>
        <w:t>1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3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研究發展處「建教合作組」擬更名為「產學合作組」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，提請審議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。</w:t>
      </w:r>
    </w:p>
    <w:p>
      <w:pPr>
        <w:spacing w:before="0" w:after="0" w:line="8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479" w:right="0" w:firstLine="0"/>
      </w:pPr>
      <w:r>
        <w:rPr>
          <w:rFonts w:ascii="Calibri" w:hAnsi="Calibri" w:cs="Calibri" w:eastAsia="Calibri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提案單位：研究發展處</w:t>
      </w:r>
      <w:r>
        <w:rPr>
          <w:rFonts w:ascii="Calibri" w:hAnsi="Calibri" w:cs="Calibri" w:eastAsia="Calibri"/>
          <w:b/>
          <w:color w:val="000000"/>
          <w:spacing w:val="5"/>
          <w:sz w:val="28"/>
          <w:szCs w:val="28"/>
        </w:rPr>
        <w:t>)</w:t>
      </w:r>
    </w:p>
    <w:p>
      <w:pPr>
        <w:autoSpaceDE w:val="0"/>
        <w:autoSpaceDN w:val="0"/>
        <w:spacing w:before="71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通過，續提校務會議確認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2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1"/>
        </w:rPr>
        <w:t> 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教務處「教學與學習支援中心」擬更名為「教學與學習中心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，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5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pacing w:val="-8"/>
          <w:sz w:val="28"/>
          <w:szCs w:val="28"/>
        </w:rPr>
        <w:t>提請審議。</w:t>
      </w:r>
      <w:r>
        <w:rPr>
          <w:rFonts w:ascii="PMingLiU" w:hAnsi="PMingLiU" w:cs="PMingLiU" w:eastAsia="PMingLiU"/>
          <w:b/>
          <w:color w:val="000000"/>
          <w:spacing w:val="-8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8"/>
          <w:sz w:val="28"/>
          <w:szCs w:val="28"/>
        </w:rPr>
        <w:t>研究發展處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）</w:t>
      </w:r>
    </w:p>
    <w:p>
      <w:pPr>
        <w:autoSpaceDE w:val="0"/>
        <w:autoSpaceDN w:val="0"/>
        <w:spacing w:before="77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委員意見：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書面提案說明太過簡要。有關</w:t>
      </w:r>
      <w:r>
        <w:rPr>
          <w:rFonts w:ascii="PMingLiU" w:hAnsi="PMingLiU" w:cs="PMingLiU" w:eastAsia="PMingLiU"/>
          <w:sz w:val="28"/>
          <w:szCs w:val="28"/>
          <w:spacing w:val="-4"/>
        </w:rPr>
        <w:t> 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CTL</w:t>
      </w:r>
      <w:r>
        <w:rPr>
          <w:rFonts w:ascii="PMingLiU" w:hAnsi="PMingLiU" w:cs="PMingLiU" w:eastAsia="PMingLiU"/>
          <w:sz w:val="28"/>
          <w:szCs w:val="28"/>
          <w:spacing w:val="-6"/>
        </w:rPr>
        <w:t> 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更名的原因、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未來的任務與規劃等，</w:t>
      </w:r>
    </w:p>
    <w:p>
      <w:pPr>
        <w:autoSpaceDE w:val="0"/>
        <w:autoSpaceDN w:val="0"/>
        <w:spacing w:before="75" w:after="0" w:line="240" w:lineRule="auto"/>
        <w:ind w:left="2479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建</w:t>
      </w:r>
      <w:r>
        <w:rPr>
          <w:rFonts w:ascii="PMingLiU" w:hAnsi="PMingLiU" w:cs="PMingLiU" w:eastAsia="PMingLiU"/>
          <w:color w:val="000000"/>
          <w:sz w:val="28"/>
          <w:szCs w:val="28"/>
        </w:rPr>
        <w:t>議補充進提案說明內。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請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CTL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依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委員建議整合提案說明後，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送研發處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彙整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續提校務會議確認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3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4"/>
        </w:rPr>
        <w:t> 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教務處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「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出版組</w:t>
      </w:r>
      <w:r>
        <w:rPr>
          <w:rFonts w:ascii="PMingLiU" w:hAnsi="PMingLiU" w:cs="PMingLiU" w:eastAsia="PMingLiU"/>
          <w:b/>
          <w:color w:val="000000"/>
          <w:spacing w:val="-18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擬更名為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「出版中心」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，提請審議。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（提案單位：</w:t>
      </w: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研究發展處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）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委員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意見：</w:t>
      </w:r>
    </w:p>
    <w:p>
      <w:pPr>
        <w:autoSpaceDE w:val="0"/>
        <w:autoSpaceDN w:val="0"/>
        <w:spacing w:before="75" w:after="0" w:line="290" w:lineRule="auto"/>
        <w:ind w:left="1994" w:right="1003" w:firstLine="43"/>
      </w:pPr>
      <w:r>
        <w:rPr>
          <w:rFonts w:ascii="PMingLiU" w:hAnsi="PMingLiU" w:cs="PMingLiU" w:eastAsia="PMingLiU"/>
          <w:color w:val="000000"/>
          <w:spacing w:val="46"/>
          <w:sz w:val="28"/>
          <w:szCs w:val="28"/>
        </w:rPr>
        <w:t>一、本案調整名稱是為對外的行銷的代表性，一般</w:t>
      </w:r>
      <w:r>
        <w:rPr>
          <w:rFonts w:ascii="PMingLiU" w:hAnsi="PMingLiU" w:cs="PMingLiU" w:eastAsia="PMingLiU"/>
          <w:color w:val="000000"/>
          <w:spacing w:val="45"/>
          <w:sz w:val="28"/>
          <w:szCs w:val="28"/>
        </w:rPr>
        <w:t>出版中心是</w:t>
      </w:r>
      <w:r>
        <w:rPr>
          <w:rFonts w:ascii="PMingLiU" w:hAnsi="PMingLiU" w:cs="PMingLiU" w:eastAsia="PMingLiU"/>
          <w:color w:val="000000"/>
          <w:spacing w:val="12"/>
          <w:sz w:val="28"/>
          <w:szCs w:val="28"/>
        </w:rPr>
        <w:t>publication</w:t>
      </w:r>
      <w:r>
        <w:rPr>
          <w:rFonts w:ascii="PMingLiU" w:hAnsi="PMingLiU" w:cs="PMingLiU" w:eastAsia="PMingLiU"/>
          <w:sz w:val="28"/>
          <w:szCs w:val="28"/>
          <w:spacing w:val="9"/>
        </w:rPr>
        <w:t>  </w:t>
      </w:r>
      <w:r>
        <w:rPr>
          <w:rFonts w:ascii="PMingLiU" w:hAnsi="PMingLiU" w:cs="PMingLiU" w:eastAsia="PMingLiU"/>
          <w:color w:val="000000"/>
          <w:spacing w:val="14"/>
          <w:sz w:val="28"/>
          <w:szCs w:val="28"/>
        </w:rPr>
        <w:t>center</w:t>
      </w:r>
      <w:r>
        <w:rPr>
          <w:rFonts w:ascii="PMingLiU" w:hAnsi="PMingLiU" w:cs="PMingLiU" w:eastAsia="PMingLiU"/>
          <w:color w:val="000000"/>
          <w:spacing w:val="33"/>
          <w:sz w:val="28"/>
          <w:szCs w:val="28"/>
        </w:rPr>
        <w:t>，但出版品上的商標部分，是否還是維持</w:t>
      </w:r>
      <w:r>
        <w:rPr>
          <w:rFonts w:ascii="PMingLiU" w:hAnsi="PMingLiU" w:cs="PMingLiU" w:eastAsia="PMingLiU"/>
          <w:sz w:val="28"/>
          <w:szCs w:val="28"/>
          <w:spacing w:val="9"/>
        </w:rPr>
        <w:t>  </w:t>
      </w:r>
      <w:r>
        <w:rPr>
          <w:rFonts w:ascii="PMingLiU" w:hAnsi="PMingLiU" w:cs="PMingLiU" w:eastAsia="PMingLiU"/>
          <w:color w:val="000000"/>
          <w:spacing w:val="23"/>
          <w:sz w:val="28"/>
          <w:szCs w:val="28"/>
        </w:rPr>
        <w:t>TNUA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PMingLiU" w:hAnsi="PMingLiU" w:cs="PMingLiU" w:eastAsia="PMingLiU"/>
          <w:color w:val="000000"/>
          <w:spacing w:val="20"/>
          <w:sz w:val="28"/>
          <w:szCs w:val="28"/>
        </w:rPr>
        <w:t>press</w:t>
      </w:r>
      <w:r>
        <w:rPr>
          <w:rFonts w:ascii="PMingLiU" w:hAnsi="PMingLiU" w:cs="PMingLiU" w:eastAsia="PMingLiU"/>
          <w:color w:val="000000"/>
          <w:spacing w:val="59"/>
          <w:sz w:val="28"/>
          <w:szCs w:val="28"/>
        </w:rPr>
        <w:t>？</w:t>
      </w:r>
    </w:p>
    <w:p>
      <w:pPr>
        <w:autoSpaceDE w:val="0"/>
        <w:autoSpaceDN w:val="0"/>
        <w:spacing w:before="0" w:after="0" w:line="240" w:lineRule="auto"/>
        <w:ind w:left="2080" w:right="0" w:firstLine="0"/>
      </w:pP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二、請教務處內部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討論，對外商標部分是維持出版中心、或是北藝大出</w:t>
      </w:r>
    </w:p>
    <w:p>
      <w:pPr>
        <w:autoSpaceDE w:val="0"/>
        <w:autoSpaceDN w:val="0"/>
        <w:spacing w:before="77" w:after="0" w:line="240" w:lineRule="auto"/>
        <w:ind w:left="2037" w:right="0" w:firstLine="0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版社，或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TNUA</w:t>
      </w:r>
      <w:r>
        <w:rPr>
          <w:rFonts w:ascii="PMingLiU" w:hAnsi="PMingLiU" w:cs="PMingLiU" w:eastAsia="PMingLiU"/>
          <w:sz w:val="28"/>
          <w:szCs w:val="28"/>
          <w:spacing w:val="1"/>
        </w:rPr>
        <w:t> 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press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，請在必要的會議上做細緻充分的討論。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一、有關組織結構無異議通過，續提校務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會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議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確認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。</w:t>
      </w:r>
    </w:p>
    <w:p>
      <w:pPr>
        <w:autoSpaceDE w:val="0"/>
        <w:autoSpaceDN w:val="0"/>
        <w:spacing w:before="75" w:after="0" w:line="240" w:lineRule="auto"/>
        <w:ind w:left="203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二、商標部分請教務處做必要討論後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另提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校務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會議審議。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10"/>
        </w:rPr>
        <w:t> 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4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】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本校申請增設「文學跨域創作研究所」之校內行政程序補正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，提請審</w:t>
      </w: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議。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研究發展處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）</w:t>
      </w: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補充說明：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本案已獲教育部函知核准通過，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為了能在招生簡章公告前完成校內行</w:t>
      </w: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政程</w:t>
      </w:r>
      <w:r>
        <w:rPr>
          <w:rFonts w:ascii="PMingLiU" w:hAnsi="PMingLiU" w:cs="PMingLiU" w:eastAsia="PMingLiU"/>
          <w:color w:val="000000"/>
          <w:sz w:val="28"/>
          <w:szCs w:val="28"/>
        </w:rPr>
        <w:t>序補正，本學期相關會議都配合提前辦理。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請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由研發處會同招生組、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通識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暨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共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同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教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育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委員會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針對本案作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較容易理解</w:t>
      </w:r>
    </w:p>
    <w:p>
      <w:pPr>
        <w:autoSpaceDE w:val="0"/>
        <w:autoSpaceDN w:val="0"/>
        <w:spacing w:before="75" w:after="0" w:line="240" w:lineRule="auto"/>
        <w:ind w:left="192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的說明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續提校務會議報告確認</w:t>
      </w:r>
      <w:r>
        <w:rPr>
          <w:rFonts w:ascii="PMingLiU" w:hAnsi="PMingLiU" w:cs="PMingLiU" w:eastAsia="PMingLiU"/>
          <w:b/>
          <w:color w:val="000000"/>
          <w:spacing w:val="4"/>
          <w:sz w:val="28"/>
          <w:szCs w:val="28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1"/>
        </w:rPr>
        <w:t> 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5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3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通識暨共同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教育委員會擬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改制為「人文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學院」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，提請審議。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（提案</w:t>
      </w: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單位：研究發展處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）</w:t>
      </w:r>
    </w:p>
    <w:p>
      <w:pPr>
        <w:autoSpaceDE w:val="0"/>
        <w:autoSpaceDN w:val="0"/>
        <w:spacing w:before="75" w:after="0" w:line="290" w:lineRule="auto"/>
        <w:ind w:left="2495" w:right="1070" w:firstLine="-1418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補充說明：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本案原以「人文跨領域學院」提案，但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為讓層級明確、不與校內其他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單位混淆，以更簡單的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名稱「人文學院」來申請。學院的轉型日後亦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有可能</w:t>
      </w:r>
      <w:r>
        <w:rPr>
          <w:rFonts w:ascii="PMingLiU" w:hAnsi="PMingLiU" w:cs="PMingLiU" w:eastAsia="PMingLiU"/>
          <w:color w:val="000000"/>
          <w:sz w:val="28"/>
          <w:szCs w:val="28"/>
        </w:rPr>
        <w:t>因應學校各階段發展而有所調整。</w:t>
      </w: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通過，續提校務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會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議確認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579" w:lineRule="auto"/>
        <w:ind w:left="1077" w:right="8425" w:firstLine="0"/>
      </w:pPr>
      <w:r>
        <w:rPr>
          <w:rFonts w:ascii="PMingLiU" w:hAnsi="PMingLiU" w:cs="PMingLiU" w:eastAsia="PMingLiU"/>
          <w:color w:val="000000"/>
          <w:spacing w:val="13"/>
          <w:sz w:val="28"/>
          <w:szCs w:val="28"/>
        </w:rPr>
        <w:t>四、</w:t>
      </w:r>
      <w:r>
        <w:rPr>
          <w:rFonts w:ascii="PMingLiU" w:hAnsi="PMingLiU" w:cs="PMingLiU" w:eastAsia="PMingLiU"/>
          <w:sz w:val="28"/>
          <w:szCs w:val="28"/>
          <w:spacing w:val="3"/>
        </w:rPr>
        <w:t>  </w:t>
      </w:r>
      <w:r>
        <w:rPr>
          <w:rFonts w:ascii="PMingLiU" w:hAnsi="PMingLiU" w:cs="PMingLiU" w:eastAsia="PMingLiU"/>
          <w:color w:val="000000"/>
          <w:spacing w:val="14"/>
          <w:sz w:val="28"/>
          <w:szCs w:val="28"/>
        </w:rPr>
        <w:t>臨時動議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4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30"/>
          <w:sz w:val="28"/>
          <w:szCs w:val="28"/>
        </w:rPr>
        <w:t>五、散會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2"/>
          <w:sz w:val="28"/>
          <w:szCs w:val="28"/>
        </w:rPr>
        <w:t>(14:50)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2" w:name="PageMark3"/>
      <w:bookmarkEnd w:id="2"/>
    </w:p>
    <w:p>
      <w:pPr>
        <w:sectPr>
          <w:pgSz w:w="11880" w:h="16820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3" w:name="PageMark4"/>
      <w:bookmarkEnd w:id="3"/>
    </w:p>
    <w:sectPr>
      <w:pgSz w:w="1188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