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9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776" w:right="0" w:firstLine="0"/>
      </w:pPr>
      <w:r>
        <w:rPr>
          <w:rFonts w:ascii="PMingLiU" w:hAnsi="PMingLiU" w:cs="PMingLiU" w:eastAsia="PMingLiU"/>
          <w:b/>
          <w:color w:val="000000"/>
          <w:sz w:val="32"/>
          <w:szCs w:val="32"/>
        </w:rPr>
        <w:t>國立臺北藝術大學</w:t>
      </w:r>
      <w:r>
        <w:rPr>
          <w:rFonts w:ascii="PMingLiU" w:hAnsi="PMingLiU" w:cs="PMingLiU" w:eastAsia="PMingLiU"/>
          <w:sz w:val="32"/>
          <w:szCs w:val="32"/>
          <w:b/>
          <w:spacing w:val="5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10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6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學年度第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2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學期第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1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次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4" w:after="0" w:line="438" w:lineRule="auto"/>
        <w:ind w:left="1531" w:right="3598" w:firstLine="2368"/>
      </w:pPr>
      <w:r>
        <w:rPr>
          <w:rFonts w:ascii="PMingLiU" w:hAnsi="PMingLiU" w:cs="PMingLiU" w:eastAsia="PMingLiU"/>
          <w:b/>
          <w:color w:val="000000"/>
          <w:sz w:val="32"/>
          <w:szCs w:val="32"/>
        </w:rPr>
        <w:t>校務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研究發展委員會</w:t>
      </w:r>
      <w:r>
        <w:rPr>
          <w:rFonts w:ascii="PMingLiU" w:hAnsi="PMingLiU" w:cs="PMingLiU" w:eastAsia="PMingLiU"/>
          <w:b/>
          <w:color w:val="000000"/>
          <w:spacing w:val="2"/>
          <w:sz w:val="32"/>
          <w:szCs w:val="32"/>
        </w:rPr>
        <w:t>會議</w:t>
      </w:r>
      <w:r>
        <w:rPr>
          <w:rFonts w:ascii="PMingLiU" w:hAnsi="PMingLiU" w:cs="PMingLiU" w:eastAsia="PMingLiU"/>
          <w:b/>
          <w:color w:val="000000"/>
          <w:spacing w:val="1"/>
          <w:sz w:val="32"/>
          <w:szCs w:val="32"/>
        </w:rPr>
        <w:t>紀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錄</w:t>
      </w:r>
      <w:r>
        <w:rPr>
          <w:rFonts w:ascii="PMingLiU" w:hAnsi="PMingLiU" w:cs="PMingLiU" w:eastAsia="PMingLiU"/>
          <w:color w:val="000000"/>
          <w:sz w:val="28"/>
          <w:szCs w:val="28"/>
        </w:rPr>
        <w:t>時間：中華民國</w:t>
      </w:r>
      <w:r>
        <w:rPr>
          <w:rFonts w:ascii="PMingLiU" w:hAnsi="PMingLiU" w:cs="PMingLiU" w:eastAsia="PMingLiU"/>
          <w:sz w:val="28"/>
          <w:szCs w:val="2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107</w:t>
      </w:r>
      <w:r>
        <w:rPr>
          <w:rFonts w:ascii="Times New Roman" w:hAnsi="Times New Roman" w:cs="Times New Roman" w:eastAsia="Times New Roman"/>
          <w:sz w:val="28"/>
          <w:szCs w:val="28"/>
          <w:spacing w:val="5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年</w:t>
      </w:r>
      <w:r>
        <w:rPr>
          <w:rFonts w:ascii="PMingLiU" w:hAnsi="PMingLiU" w:cs="PMingLiU" w:eastAsia="PMingLiU"/>
          <w:sz w:val="28"/>
          <w:szCs w:val="2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04</w:t>
      </w:r>
      <w:r>
        <w:rPr>
          <w:rFonts w:ascii="Times New Roman" w:hAnsi="Times New Roman" w:cs="Times New Roman" w:eastAsia="Times New Roman"/>
          <w:sz w:val="28"/>
          <w:szCs w:val="28"/>
          <w:spacing w:val="5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月</w:t>
      </w:r>
      <w:r>
        <w:rPr>
          <w:rFonts w:ascii="PMingLiU" w:hAnsi="PMingLiU" w:cs="PMingLiU" w:eastAsia="PMingLiU"/>
          <w:sz w:val="28"/>
          <w:szCs w:val="2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 w:eastAsia="Times New Roman"/>
          <w:sz w:val="28"/>
          <w:szCs w:val="28"/>
          <w:spacing w:val="5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日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z w:val="28"/>
          <w:szCs w:val="28"/>
        </w:rPr>
        <w:t>星期一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5"/>
        </w:rPr>
        <w:t>   </w:t>
      </w:r>
      <w:r>
        <w:rPr>
          <w:rFonts w:ascii="PMingLiU" w:hAnsi="PMingLiU" w:cs="PMingLiU" w:eastAsia="PMingLiU"/>
          <w:color w:val="000000"/>
          <w:sz w:val="28"/>
          <w:szCs w:val="28"/>
        </w:rPr>
        <w:t>下午</w:t>
      </w:r>
      <w:r>
        <w:rPr>
          <w:rFonts w:ascii="PMingLiU" w:hAnsi="PMingLiU" w:cs="PMingLiU" w:eastAsia="PMingLiU"/>
          <w:sz w:val="28"/>
          <w:szCs w:val="2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15:20</w:t>
      </w:r>
      <w:r>
        <w:rPr>
          <w:rFonts w:ascii="PMingLiU" w:hAnsi="PMingLiU" w:cs="PMingLiU" w:eastAsia="PMingLiU"/>
          <w:color w:val="000000"/>
          <w:sz w:val="28"/>
          <w:szCs w:val="28"/>
        </w:rPr>
        <w:t>地點：行政大樓</w:t>
      </w:r>
      <w:r>
        <w:rPr>
          <w:rFonts w:ascii="PMingLiU" w:hAnsi="PMingLiU" w:cs="PMingLiU" w:eastAsia="PMingLiU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4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樓會議室</w:t>
      </w:r>
    </w:p>
    <w:p>
      <w:pPr>
        <w:autoSpaceDE w:val="0"/>
        <w:autoSpaceDN w:val="0"/>
        <w:spacing w:before="0" w:after="0" w:line="240" w:lineRule="auto"/>
        <w:ind w:left="1530" w:right="0" w:firstLine="0"/>
      </w:pP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主持人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70"/>
        </w:rPr>
        <w:t> 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陳主任委員愷璜</w:t>
      </w:r>
    </w:p>
    <w:p>
      <w:pPr>
        <w:spacing w:before="0" w:after="0" w:line="282" w:lineRule="exact"/>
        <w:ind w:left="0" w:right="0"/>
      </w:pPr>
    </w:p>
    <w:p>
      <w:pPr>
        <w:autoSpaceDE w:val="0"/>
        <w:autoSpaceDN w:val="0"/>
        <w:spacing w:before="0" w:after="0" w:line="316" w:lineRule="auto"/>
        <w:ind w:left="2929" w:right="1471" w:firstLine="-1398"/>
      </w:pPr>
      <w:r>
        <w:rPr>
          <w:rFonts w:ascii="PMingLiU" w:hAnsi="PMingLiU" w:cs="PMingLiU" w:eastAsia="PMingLiU"/>
          <w:color w:val="000000"/>
          <w:sz w:val="28"/>
          <w:szCs w:val="28"/>
        </w:rPr>
        <w:t>出席委員</w:t>
      </w:r>
      <w:r>
        <w:rPr>
          <w:rFonts w:ascii="PMingLiU" w:hAnsi="PMingLiU" w:cs="PMingLiU" w:eastAsia="PMingLiU"/>
          <w:color w:val="000000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65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李委員葭儀、邱委員顯洵、徐委員亞湘、林委員于竝、何委員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曉玫、戴委員嘉明、王委員寶萱、蘇委員顯達、楊委員凱麟</w:t>
      </w:r>
      <w:r>
        <w:rPr>
          <w:rFonts w:ascii="PMingLiU" w:hAnsi="PMingLiU" w:cs="PMingLiU" w:eastAsia="PMingLiU"/>
          <w:color w:val="000000"/>
          <w:spacing w:val="7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-4"/>
          <w:sz w:val="28"/>
          <w:szCs w:val="28"/>
        </w:rPr>
        <w:t>請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假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)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、簡委員立人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請假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)</w:t>
      </w:r>
      <w:r>
        <w:rPr>
          <w:rFonts w:ascii="PMingLiU" w:hAnsi="PMingLiU" w:cs="PMingLiU" w:eastAsia="PMingLiU"/>
          <w:color w:val="000000"/>
          <w:spacing w:val="7"/>
          <w:sz w:val="28"/>
          <w:szCs w:val="28"/>
        </w:rPr>
        <w:t>、王委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員雲幼、魏委員德樂、張委員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婉真</w:t>
      </w:r>
    </w:p>
    <w:p>
      <w:pPr>
        <w:autoSpaceDE w:val="0"/>
        <w:autoSpaceDN w:val="0"/>
        <w:spacing w:before="2" w:after="0" w:line="316" w:lineRule="auto"/>
        <w:ind w:left="1530" w:right="2954" w:firstLine="0"/>
      </w:pP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列席人員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: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郭主任昭蘭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、吳主委懷晨、綜合企劃組組長顧玉玲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記錄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70"/>
        </w:rPr>
        <w:t> 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研發處周君霖專員</w:t>
      </w:r>
    </w:p>
    <w:p>
      <w:pPr>
        <w:spacing w:before="0" w:after="0" w:line="200" w:lineRule="exact"/>
        <w:ind w:left="0" w:right="0"/>
      </w:pPr>
    </w:p>
    <w:p>
      <w:pPr>
        <w:spacing w:before="0" w:after="0" w:line="21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0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一、主席致詞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：</w:t>
      </w:r>
    </w:p>
    <w:p>
      <w:pPr>
        <w:autoSpaceDE w:val="0"/>
        <w:autoSpaceDN w:val="0"/>
        <w:spacing w:before="36" w:after="0" w:line="263" w:lineRule="auto"/>
        <w:ind w:left="2731" w:right="1471" w:firstLine="-720"/>
      </w:pPr>
      <w:r>
        <w:rPr>
          <w:rFonts w:ascii="PMingLiU" w:hAnsi="PMingLiU" w:cs="PMingLiU" w:eastAsia="PMingLiU"/>
          <w:color w:val="000000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z w:val="28"/>
          <w:szCs w:val="28"/>
        </w:rPr>
        <w:t>一</w:t>
      </w:r>
      <w:r>
        <w:rPr>
          <w:rFonts w:ascii="PMingLiU" w:hAnsi="PMingLiU" w:cs="PMingLiU" w:eastAsia="PMingLiU"/>
          <w:color w:val="000000"/>
          <w:sz w:val="28"/>
          <w:szCs w:val="28"/>
        </w:rPr>
        <w:t>)</w:t>
      </w:r>
      <w:r>
        <w:rPr>
          <w:rFonts w:ascii="PMingLiU" w:hAnsi="PMingLiU" w:cs="PMingLiU" w:eastAsia="PMingLiU"/>
          <w:sz w:val="28"/>
          <w:szCs w:val="28"/>
          <w:spacing w:val="-16"/>
        </w:rPr>
        <w:t>  </w:t>
      </w:r>
      <w:r>
        <w:rPr>
          <w:rFonts w:ascii="PMingLiU" w:hAnsi="PMingLiU" w:cs="PMingLiU" w:eastAsia="PMingLiU"/>
          <w:color w:val="000000"/>
          <w:sz w:val="28"/>
          <w:szCs w:val="28"/>
        </w:rPr>
        <w:t>首先想與各位委員分享學校近程的重點發展計畫</w:t>
      </w:r>
      <w:r>
        <w:rPr>
          <w:rFonts w:ascii="PMingLiU" w:hAnsi="PMingLiU" w:cs="PMingLiU" w:eastAsia="PMingLiU"/>
          <w:color w:val="000000"/>
          <w:sz w:val="28"/>
          <w:szCs w:val="28"/>
        </w:rPr>
        <w:t>，</w:t>
      </w:r>
      <w:r>
        <w:rPr>
          <w:rFonts w:ascii="PMingLiU" w:hAnsi="PMingLiU" w:cs="PMingLiU" w:eastAsia="PMingLiU"/>
          <w:color w:val="000000"/>
          <w:sz w:val="28"/>
          <w:szCs w:val="28"/>
        </w:rPr>
        <w:t>第一個是調整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學校藝術教育的基礎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。這部分有兩個面向，一個是藝術學門的核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心課程，另一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個就是通識、人文社會教育，這兩部分我認為是構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築一個專業藝術人的培育過程中非常重要的基盤</w:t>
      </w:r>
      <w:r>
        <w:rPr>
          <w:rFonts w:ascii="PMingLiU" w:hAnsi="PMingLiU" w:cs="PMingLiU" w:eastAsia="PMingLiU"/>
          <w:color w:val="000000"/>
          <w:spacing w:val="-12"/>
          <w:sz w:val="28"/>
          <w:szCs w:val="28"/>
        </w:rPr>
        <w:t>。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在學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院端的核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心課程我們都不擔心</w:t>
      </w:r>
      <w:r>
        <w:rPr>
          <w:rFonts w:ascii="PMingLiU" w:hAnsi="PMingLiU" w:cs="PMingLiU" w:eastAsia="PMingLiU"/>
          <w:color w:val="000000"/>
          <w:spacing w:val="-8"/>
          <w:sz w:val="28"/>
          <w:szCs w:val="28"/>
        </w:rPr>
        <w:t>，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北藝大的六大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藝術學門老師都非常優秀也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具有藝術界的代表性</w:t>
      </w:r>
      <w:r>
        <w:rPr>
          <w:rFonts w:ascii="PMingLiU" w:hAnsi="PMingLiU" w:cs="PMingLiU" w:eastAsia="PMingLiU"/>
          <w:color w:val="000000"/>
          <w:spacing w:val="-8"/>
          <w:sz w:val="28"/>
          <w:szCs w:val="28"/>
        </w:rPr>
        <w:t>。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而通識委員會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也考量如何在過去的基礎上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調整強化通識課程，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使其更寬更深去填補人文教育的不足。這兩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個面</w:t>
      </w:r>
      <w:r>
        <w:rPr>
          <w:rFonts w:ascii="PMingLiU" w:hAnsi="PMingLiU" w:cs="PMingLiU" w:eastAsia="PMingLiU"/>
          <w:color w:val="000000"/>
          <w:sz w:val="28"/>
          <w:szCs w:val="28"/>
        </w:rPr>
        <w:t>向就構築了學校藝術教育的重要基礎。</w:t>
      </w:r>
    </w:p>
    <w:p>
      <w:pPr>
        <w:autoSpaceDE w:val="0"/>
        <w:autoSpaceDN w:val="0"/>
        <w:spacing w:before="7" w:after="0" w:line="263" w:lineRule="auto"/>
        <w:ind w:left="2731" w:right="1473" w:firstLine="-720"/>
      </w:pPr>
      <w:r>
        <w:rPr>
          <w:rFonts w:ascii="PMingLiU" w:hAnsi="PMingLiU" w:cs="PMingLiU" w:eastAsia="PMingLiU"/>
          <w:color w:val="000000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z w:val="28"/>
          <w:szCs w:val="28"/>
        </w:rPr>
        <w:t>二</w:t>
      </w:r>
      <w:r>
        <w:rPr>
          <w:rFonts w:ascii="PMingLiU" w:hAnsi="PMingLiU" w:cs="PMingLiU" w:eastAsia="PMingLiU"/>
          <w:color w:val="000000"/>
          <w:sz w:val="28"/>
          <w:szCs w:val="28"/>
        </w:rPr>
        <w:t>)</w:t>
      </w:r>
      <w:r>
        <w:rPr>
          <w:rFonts w:ascii="PMingLiU" w:hAnsi="PMingLiU" w:cs="PMingLiU" w:eastAsia="PMingLiU"/>
          <w:sz w:val="28"/>
          <w:szCs w:val="28"/>
          <w:spacing w:val="-16"/>
        </w:rPr>
        <w:t>  </w:t>
      </w:r>
      <w:r>
        <w:rPr>
          <w:rFonts w:ascii="PMingLiU" w:hAnsi="PMingLiU" w:cs="PMingLiU" w:eastAsia="PMingLiU"/>
          <w:color w:val="000000"/>
          <w:sz w:val="28"/>
          <w:szCs w:val="28"/>
        </w:rPr>
        <w:t>第二個計畫是我們北藝大的高度</w:t>
      </w:r>
      <w:r>
        <w:rPr>
          <w:rFonts w:ascii="PMingLiU" w:hAnsi="PMingLiU" w:cs="PMingLiU" w:eastAsia="PMingLiU"/>
          <w:color w:val="000000"/>
          <w:sz w:val="28"/>
          <w:szCs w:val="28"/>
        </w:rPr>
        <w:t>。</w:t>
      </w:r>
      <w:r>
        <w:rPr>
          <w:rFonts w:ascii="PMingLiU" w:hAnsi="PMingLiU" w:cs="PMingLiU" w:eastAsia="PMingLiU"/>
          <w:color w:val="000000"/>
          <w:sz w:val="28"/>
          <w:szCs w:val="28"/>
        </w:rPr>
        <w:t>我必須要帶有一種期望跟自我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期許的角度來談這種事情</w:t>
      </w:r>
      <w:r>
        <w:rPr>
          <w:rFonts w:ascii="PMingLiU" w:hAnsi="PMingLiU" w:cs="PMingLiU" w:eastAsia="PMingLiU"/>
          <w:color w:val="000000"/>
          <w:spacing w:val="-9"/>
          <w:sz w:val="28"/>
          <w:szCs w:val="28"/>
        </w:rPr>
        <w:t>，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就是北藝大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的博士班現在還只是一個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名位。我覺得我們應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該責無旁貸地讓北藝大博士名聲升值，這是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為什麼</w:t>
      </w:r>
      <w:r>
        <w:rPr>
          <w:rFonts w:ascii="PMingLiU" w:hAnsi="PMingLiU" w:cs="PMingLiU" w:eastAsia="PMingLiU"/>
          <w:color w:val="000000"/>
          <w:sz w:val="28"/>
          <w:szCs w:val="28"/>
        </w:rPr>
        <w:t>我們現在急於在創作展演跟研究的學術地位去提升北藝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大。目前由戲劇學院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及美術學院合作推動跨學系博士班平台。跨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系博士班平台非常不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容易，但目前的推動看起來還不錯。明日的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德勒茲論壇，消息一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發出去連中研院都有院士等級的人報名，我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們也沒預定位置給他，要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來就要排隊，所以明天一定會爆滿。這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個時</w:t>
      </w:r>
      <w:r>
        <w:rPr>
          <w:rFonts w:ascii="PMingLiU" w:hAnsi="PMingLiU" w:cs="PMingLiU" w:eastAsia="PMingLiU"/>
          <w:color w:val="000000"/>
          <w:sz w:val="28"/>
          <w:szCs w:val="28"/>
        </w:rPr>
        <w:t>代推博士班是特別辛苦，我們可以人不多，但品質一定要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731" w:right="0" w:firstLine="0"/>
      </w:pP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好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，這也是北藝大不同藝術學門間的共識，假以時日讓北藝大博</w:t>
      </w:r>
    </w:p>
    <w:p>
      <w:pPr>
        <w:autoSpaceDE w:val="0"/>
        <w:autoSpaceDN w:val="0"/>
        <w:spacing w:before="36" w:after="0" w:line="240" w:lineRule="auto"/>
        <w:ind w:left="2731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士</w:t>
      </w:r>
      <w:r>
        <w:rPr>
          <w:rFonts w:ascii="PMingLiU" w:hAnsi="PMingLiU" w:cs="PMingLiU" w:eastAsia="PMingLiU"/>
          <w:color w:val="000000"/>
          <w:sz w:val="28"/>
          <w:szCs w:val="28"/>
        </w:rPr>
        <w:t>班這個概念成為學校的高度。</w:t>
      </w:r>
    </w:p>
    <w:p>
      <w:pPr>
        <w:autoSpaceDE w:val="0"/>
        <w:autoSpaceDN w:val="0"/>
        <w:spacing w:before="34" w:after="0" w:line="263" w:lineRule="auto"/>
        <w:ind w:left="2731" w:right="1403" w:firstLine="-720"/>
      </w:pPr>
      <w:r>
        <w:rPr>
          <w:rFonts w:ascii="PMingLiU" w:hAnsi="PMingLiU" w:cs="PMingLiU" w:eastAsia="PMingLiU"/>
          <w:color w:val="000000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z w:val="28"/>
          <w:szCs w:val="28"/>
        </w:rPr>
        <w:t>三</w:t>
      </w:r>
      <w:r>
        <w:rPr>
          <w:rFonts w:ascii="PMingLiU" w:hAnsi="PMingLiU" w:cs="PMingLiU" w:eastAsia="PMingLiU"/>
          <w:color w:val="000000"/>
          <w:sz w:val="28"/>
          <w:szCs w:val="28"/>
        </w:rPr>
        <w:t>)</w:t>
      </w:r>
      <w:r>
        <w:rPr>
          <w:rFonts w:ascii="PMingLiU" w:hAnsi="PMingLiU" w:cs="PMingLiU" w:eastAsia="PMingLiU"/>
          <w:sz w:val="28"/>
          <w:szCs w:val="28"/>
          <w:spacing w:val="20"/>
        </w:rPr>
        <w:t>  </w:t>
      </w:r>
      <w:r>
        <w:rPr>
          <w:rFonts w:ascii="PMingLiU" w:hAnsi="PMingLiU" w:cs="PMingLiU" w:eastAsia="PMingLiU"/>
          <w:color w:val="000000"/>
          <w:sz w:val="28"/>
          <w:szCs w:val="28"/>
        </w:rPr>
        <w:t>第三塊是整個北藝大在整合很多工作，把北藝大品牌推得更好；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過去幾屆校長推得很用力，我們就是要承接這個力道，把</w:t>
      </w:r>
      <w:r>
        <w:rPr>
          <w:rFonts w:ascii="PMingLiU" w:hAnsi="PMingLiU" w:cs="PMingLiU" w:eastAsia="PMingLiU"/>
          <w:color w:val="000000"/>
          <w:spacing w:val="-4"/>
          <w:sz w:val="28"/>
          <w:szCs w:val="28"/>
        </w:rPr>
        <w:t>它做得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更精確、更精準，包括學校硬體物件、相關資源的</w:t>
      </w:r>
      <w:r>
        <w:rPr>
          <w:rFonts w:ascii="PMingLiU" w:hAnsi="PMingLiU" w:cs="PMingLiU" w:eastAsia="PMingLiU"/>
          <w:color w:val="000000"/>
          <w:spacing w:val="-4"/>
          <w:sz w:val="28"/>
          <w:szCs w:val="28"/>
        </w:rPr>
        <w:t>整合，或者學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校對內對外的形象品牌的問題</w:t>
      </w:r>
      <w:r>
        <w:rPr>
          <w:rFonts w:ascii="PMingLiU" w:hAnsi="PMingLiU" w:cs="PMingLiU" w:eastAsia="PMingLiU"/>
          <w:color w:val="000000"/>
          <w:spacing w:val="-3"/>
          <w:sz w:val="28"/>
          <w:szCs w:val="28"/>
        </w:rPr>
        <w:t>。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最後是由外部支</w:t>
      </w:r>
      <w:r>
        <w:rPr>
          <w:rFonts w:ascii="PMingLiU" w:hAnsi="PMingLiU" w:cs="PMingLiU" w:eastAsia="PMingLiU"/>
          <w:color w:val="000000"/>
          <w:spacing w:val="-4"/>
          <w:sz w:val="28"/>
          <w:szCs w:val="28"/>
        </w:rPr>
        <w:t>援來推動資助學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校發展的計畫，這部分還在規劃，會包括軟硬體設</w:t>
      </w:r>
      <w:r>
        <w:rPr>
          <w:rFonts w:ascii="PMingLiU" w:hAnsi="PMingLiU" w:cs="PMingLiU" w:eastAsia="PMingLiU"/>
          <w:color w:val="000000"/>
          <w:spacing w:val="-4"/>
          <w:sz w:val="28"/>
          <w:szCs w:val="28"/>
        </w:rPr>
        <w:t>備，希望能不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花到</w:t>
      </w:r>
      <w:r>
        <w:rPr>
          <w:rFonts w:ascii="PMingLiU" w:hAnsi="PMingLiU" w:cs="PMingLiU" w:eastAsia="PMingLiU"/>
          <w:color w:val="000000"/>
          <w:sz w:val="28"/>
          <w:szCs w:val="28"/>
        </w:rPr>
        <w:t>學校的錢來進行。</w:t>
      </w:r>
    </w:p>
    <w:p>
      <w:pPr>
        <w:autoSpaceDE w:val="0"/>
        <w:autoSpaceDN w:val="0"/>
        <w:spacing w:before="6" w:after="0" w:line="263" w:lineRule="auto"/>
        <w:ind w:left="2731" w:right="1470" w:firstLine="-720"/>
      </w:pPr>
      <w:r>
        <w:rPr>
          <w:rFonts w:ascii="PMingLiU" w:hAnsi="PMingLiU" w:cs="PMingLiU" w:eastAsia="PMingLiU"/>
          <w:color w:val="000000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z w:val="28"/>
          <w:szCs w:val="28"/>
        </w:rPr>
        <w:t>四</w:t>
      </w:r>
      <w:r>
        <w:rPr>
          <w:rFonts w:ascii="PMingLiU" w:hAnsi="PMingLiU" w:cs="PMingLiU" w:eastAsia="PMingLiU"/>
          <w:color w:val="000000"/>
          <w:sz w:val="28"/>
          <w:szCs w:val="28"/>
        </w:rPr>
        <w:t>)</w:t>
      </w:r>
      <w:r>
        <w:rPr>
          <w:rFonts w:ascii="PMingLiU" w:hAnsi="PMingLiU" w:cs="PMingLiU" w:eastAsia="PMingLiU"/>
          <w:sz w:val="28"/>
          <w:szCs w:val="28"/>
          <w:spacing w:val="-16"/>
        </w:rPr>
        <w:t>  </w:t>
      </w:r>
      <w:r>
        <w:rPr>
          <w:rFonts w:ascii="PMingLiU" w:hAnsi="PMingLiU" w:cs="PMingLiU" w:eastAsia="PMingLiU"/>
          <w:color w:val="000000"/>
          <w:sz w:val="28"/>
          <w:szCs w:val="28"/>
        </w:rPr>
        <w:t>學校目前在推的這四大塊，特別教學面由下到上，裡面會有很多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各藝術學門教學單位的課程整合問題</w:t>
      </w:r>
      <w:r>
        <w:rPr>
          <w:rFonts w:ascii="PMingLiU" w:hAnsi="PMingLiU" w:cs="PMingLiU" w:eastAsia="PMingLiU"/>
          <w:color w:val="000000"/>
          <w:spacing w:val="-10"/>
          <w:sz w:val="28"/>
          <w:szCs w:val="28"/>
        </w:rPr>
        <w:t>；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這個很早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從中煖副校長就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一直在推動，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也有過幾次改版，但這事不會結束，會因應每一個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外在環境變動的階段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，我們也有能動性去跟著調節。學校也必須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要去體察各不同藝術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學門的看法跟意見，跟工作上的可行性，看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大家如何去協調配合</w:t>
      </w:r>
      <w:r>
        <w:rPr>
          <w:rFonts w:ascii="PMingLiU" w:hAnsi="PMingLiU" w:cs="PMingLiU" w:eastAsia="PMingLiU"/>
          <w:color w:val="000000"/>
          <w:spacing w:val="-8"/>
          <w:sz w:val="28"/>
          <w:szCs w:val="28"/>
        </w:rPr>
        <w:t>。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我想做這個必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要的說明讓各位主管委員比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較清楚學校近期階段的調整</w:t>
      </w:r>
      <w:r>
        <w:rPr>
          <w:rFonts w:ascii="PMingLiU" w:hAnsi="PMingLiU" w:cs="PMingLiU" w:eastAsia="PMingLiU"/>
          <w:color w:val="000000"/>
          <w:spacing w:val="-9"/>
          <w:sz w:val="28"/>
          <w:szCs w:val="28"/>
        </w:rPr>
        <w:t>，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也比較好理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解底下提案為什麼要這</w:t>
      </w:r>
      <w:r>
        <w:rPr>
          <w:rFonts w:ascii="PMingLiU" w:hAnsi="PMingLiU" w:cs="PMingLiU" w:eastAsia="PMingLiU"/>
          <w:color w:val="000000"/>
          <w:sz w:val="28"/>
          <w:szCs w:val="28"/>
        </w:rPr>
        <w:t>樣提。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二、何委員報告小組會議結論：</w:t>
      </w:r>
      <w:r>
        <w:rPr>
          <w:rFonts w:ascii="PMingLiU" w:hAnsi="PMingLiU" w:cs="PMingLiU" w:eastAsia="PMingLiU"/>
          <w:color w:val="000000"/>
          <w:spacing w:val="11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7"/>
          <w:sz w:val="28"/>
          <w:szCs w:val="28"/>
        </w:rPr>
        <w:t>略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)</w:t>
      </w:r>
    </w:p>
    <w:p>
      <w:pPr>
        <w:spacing w:before="0" w:after="0" w:line="200" w:lineRule="exact"/>
        <w:ind w:left="0" w:right="0"/>
      </w:pPr>
    </w:p>
    <w:p>
      <w:pPr>
        <w:spacing w:before="0" w:after="0" w:line="23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三、</w:t>
      </w:r>
      <w:r>
        <w:rPr>
          <w:rFonts w:ascii="PMingLiU" w:hAnsi="PMingLiU" w:cs="PMingLiU" w:eastAsia="PMingLiU"/>
          <w:color w:val="000000"/>
          <w:sz w:val="28"/>
          <w:szCs w:val="28"/>
        </w:rPr>
        <w:t>提案討論：</w:t>
      </w:r>
    </w:p>
    <w:p>
      <w:pPr>
        <w:autoSpaceDE w:val="0"/>
        <w:autoSpaceDN w:val="0"/>
        <w:spacing w:before="35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【案由</w:t>
      </w:r>
      <w:r>
        <w:rPr>
          <w:rFonts w:ascii="PMingLiU" w:hAnsi="PMingLiU" w:cs="PMingLiU" w:eastAsia="PMingLiU"/>
          <w:sz w:val="28"/>
          <w:szCs w:val="28"/>
          <w:b/>
          <w:spacing w:val="11"/>
        </w:rPr>
        <w:t> 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1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】為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本校國際交流中心改制為國際事務處暨配合修訂組織章程</w:t>
      </w:r>
    </w:p>
    <w:p>
      <w:pPr>
        <w:autoSpaceDE w:val="0"/>
        <w:autoSpaceDN w:val="0"/>
        <w:spacing w:before="40" w:after="0" w:line="259" w:lineRule="auto"/>
        <w:ind w:left="2932" w:right="4587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案，提請審議。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(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提案單位：研發處</w:t>
      </w:r>
      <w:r>
        <w:rPr>
          <w:rFonts w:ascii="Calibri" w:hAnsi="Calibri" w:cs="Calibri" w:eastAsia="Calibri"/>
          <w:b/>
          <w:color w:val="000000"/>
          <w:spacing w:val="1"/>
          <w:sz w:val="28"/>
          <w:szCs w:val="28"/>
        </w:rPr>
        <w:t>)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說明</w:t>
      </w:r>
      <w:r>
        <w:rPr>
          <w:rFonts w:ascii="PMingLiU" w:hAnsi="PMingLiU" w:cs="PMingLiU" w:eastAsia="PMingLiU"/>
          <w:color w:val="000000"/>
          <w:sz w:val="28"/>
          <w:szCs w:val="28"/>
        </w:rPr>
        <w:t>：詳如提案單。</w:t>
      </w:r>
    </w:p>
    <w:p>
      <w:pPr>
        <w:autoSpaceDE w:val="0"/>
        <w:autoSpaceDN w:val="0"/>
        <w:spacing w:before="10" w:after="0" w:line="240" w:lineRule="auto"/>
        <w:ind w:left="2932" w:right="0" w:firstLine="0"/>
      </w:pPr>
      <w:r>
        <w:rPr>
          <w:rFonts w:ascii="PMingLiU" w:hAnsi="PMingLiU" w:cs="PMingLiU" w:eastAsia="PMingLiU"/>
          <w:color w:val="000000"/>
          <w:spacing w:val="-10"/>
          <w:sz w:val="28"/>
          <w:szCs w:val="28"/>
        </w:rPr>
        <w:t>決議</w:t>
      </w:r>
      <w:r>
        <w:rPr>
          <w:rFonts w:ascii="PMingLiU" w:hAnsi="PMingLiU" w:cs="PMingLiU" w:eastAsia="PMingLiU"/>
          <w:color w:val="000000"/>
          <w:spacing w:val="-9"/>
          <w:sz w:val="28"/>
          <w:szCs w:val="28"/>
        </w:rPr>
        <w:t>：</w:t>
      </w:r>
      <w:r>
        <w:rPr>
          <w:rFonts w:ascii="PMingLiU" w:hAnsi="PMingLiU" w:cs="PMingLiU" w:eastAsia="PMingLiU"/>
          <w:color w:val="000000"/>
          <w:spacing w:val="-10"/>
          <w:sz w:val="28"/>
          <w:szCs w:val="28"/>
        </w:rPr>
        <w:t>有關副國際長的條文先擱置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，</w:t>
      </w:r>
      <w:r>
        <w:rPr>
          <w:rFonts w:ascii="PMingLiU" w:hAnsi="PMingLiU" w:cs="PMingLiU" w:eastAsia="PMingLiU"/>
          <w:color w:val="000000"/>
          <w:spacing w:val="-10"/>
          <w:sz w:val="28"/>
          <w:szCs w:val="28"/>
        </w:rPr>
        <w:t>修正後提送校務會</w:t>
      </w:r>
      <w:r>
        <w:rPr>
          <w:rFonts w:ascii="PMingLiU" w:hAnsi="PMingLiU" w:cs="PMingLiU" w:eastAsia="PMingLiU"/>
          <w:color w:val="000000"/>
          <w:spacing w:val="-9"/>
          <w:sz w:val="28"/>
          <w:szCs w:val="28"/>
        </w:rPr>
        <w:t>議審議。</w:t>
      </w:r>
    </w:p>
    <w:p>
      <w:pPr>
        <w:spacing w:before="0" w:after="0" w:line="200" w:lineRule="exact"/>
        <w:ind w:left="0" w:right="0"/>
      </w:pPr>
    </w:p>
    <w:p>
      <w:pPr>
        <w:spacing w:before="0" w:after="0" w:line="23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【案由</w:t>
      </w:r>
      <w:r>
        <w:rPr>
          <w:rFonts w:ascii="PMingLiU" w:hAnsi="PMingLiU" w:cs="PMingLiU" w:eastAsia="PMingLiU"/>
          <w:sz w:val="28"/>
          <w:szCs w:val="28"/>
          <w:b/>
        </w:rPr>
        <w:t> 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2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】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為本校通識暨共同教育委員會擬成立「文學跨域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創作碩士學位</w:t>
      </w:r>
    </w:p>
    <w:p>
      <w:pPr>
        <w:autoSpaceDE w:val="0"/>
        <w:autoSpaceDN w:val="0"/>
        <w:spacing w:before="34" w:after="0" w:line="240" w:lineRule="auto"/>
        <w:ind w:left="2932" w:right="0" w:firstLine="0"/>
      </w:pPr>
      <w:r>
        <w:rPr>
          <w:rFonts w:ascii="PMingLiU" w:hAnsi="PMingLiU" w:cs="PMingLiU" w:eastAsia="PMingLiU"/>
          <w:b/>
          <w:color w:val="000000"/>
          <w:spacing w:val="-7"/>
          <w:sz w:val="28"/>
          <w:szCs w:val="28"/>
        </w:rPr>
        <w:t>學程」案，提請審議。</w:t>
      </w:r>
      <w:r>
        <w:rPr>
          <w:rFonts w:ascii="PMingLiU" w:hAnsi="PMingLiU" w:cs="PMingLiU" w:eastAsia="PMingLiU"/>
          <w:b/>
          <w:color w:val="000000"/>
          <w:spacing w:val="-6"/>
          <w:sz w:val="28"/>
          <w:szCs w:val="28"/>
        </w:rPr>
        <w:t>（提案單位：研發處</w:t>
      </w:r>
      <w:r>
        <w:rPr>
          <w:rFonts w:ascii="PMingLiU" w:hAnsi="PMingLiU" w:cs="PMingLiU" w:eastAsia="PMingLiU"/>
          <w:b/>
          <w:color w:val="000000"/>
          <w:spacing w:val="-11"/>
          <w:sz w:val="28"/>
          <w:szCs w:val="28"/>
        </w:rPr>
        <w:t>）</w:t>
      </w:r>
    </w:p>
    <w:p>
      <w:pPr>
        <w:autoSpaceDE w:val="0"/>
        <w:autoSpaceDN w:val="0"/>
        <w:spacing w:before="36" w:after="0" w:line="240" w:lineRule="auto"/>
        <w:ind w:left="2971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說明</w:t>
      </w:r>
      <w:r>
        <w:rPr>
          <w:rFonts w:ascii="PMingLiU" w:hAnsi="PMingLiU" w:cs="PMingLiU" w:eastAsia="PMingLiU"/>
          <w:color w:val="000000"/>
          <w:sz w:val="28"/>
          <w:szCs w:val="28"/>
        </w:rPr>
        <w:t>：詳如提案單。</w:t>
      </w:r>
    </w:p>
    <w:p>
      <w:pPr>
        <w:autoSpaceDE w:val="0"/>
        <w:autoSpaceDN w:val="0"/>
        <w:spacing w:before="36" w:after="0" w:line="240" w:lineRule="auto"/>
        <w:ind w:left="2971" w:right="0" w:firstLine="0"/>
      </w:pPr>
      <w:r>
        <w:rPr>
          <w:rFonts w:ascii="PMingLiU" w:hAnsi="PMingLiU" w:cs="PMingLiU" w:eastAsia="PMingLiU"/>
          <w:color w:val="000000"/>
          <w:spacing w:val="-11"/>
          <w:sz w:val="28"/>
          <w:szCs w:val="28"/>
        </w:rPr>
        <w:t>決議</w:t>
      </w:r>
      <w:r>
        <w:rPr>
          <w:rFonts w:ascii="PMingLiU" w:hAnsi="PMingLiU" w:cs="PMingLiU" w:eastAsia="PMingLiU"/>
          <w:color w:val="000000"/>
          <w:spacing w:val="-11"/>
          <w:sz w:val="28"/>
          <w:szCs w:val="28"/>
        </w:rPr>
        <w:t>：</w:t>
      </w:r>
      <w:r>
        <w:rPr>
          <w:rFonts w:ascii="PMingLiU" w:hAnsi="PMingLiU" w:cs="PMingLiU" w:eastAsia="PMingLiU"/>
          <w:color w:val="000000"/>
          <w:spacing w:val="-11"/>
          <w:sz w:val="28"/>
          <w:szCs w:val="28"/>
        </w:rPr>
        <w:t>請研發處會同通識修正數據資料後</w:t>
      </w:r>
      <w:r>
        <w:rPr>
          <w:rFonts w:ascii="PMingLiU" w:hAnsi="PMingLiU" w:cs="PMingLiU" w:eastAsia="PMingLiU"/>
          <w:color w:val="000000"/>
          <w:spacing w:val="-13"/>
          <w:sz w:val="28"/>
          <w:szCs w:val="28"/>
        </w:rPr>
        <w:t>，</w:t>
      </w:r>
      <w:r>
        <w:rPr>
          <w:rFonts w:ascii="PMingLiU" w:hAnsi="PMingLiU" w:cs="PMingLiU" w:eastAsia="PMingLiU"/>
          <w:color w:val="000000"/>
          <w:spacing w:val="-12"/>
          <w:sz w:val="28"/>
          <w:szCs w:val="28"/>
        </w:rPr>
        <w:t>提</w:t>
      </w:r>
      <w:r>
        <w:rPr>
          <w:rFonts w:ascii="PMingLiU" w:hAnsi="PMingLiU" w:cs="PMingLiU" w:eastAsia="PMingLiU"/>
          <w:color w:val="000000"/>
          <w:spacing w:val="-11"/>
          <w:sz w:val="28"/>
          <w:szCs w:val="28"/>
        </w:rPr>
        <w:t>送校務會議討論。</w:t>
      </w:r>
    </w:p>
    <w:p>
      <w:pPr>
        <w:spacing w:before="0" w:after="0" w:line="200" w:lineRule="exact"/>
        <w:ind w:left="0" w:right="0"/>
      </w:pPr>
    </w:p>
    <w:p>
      <w:pPr>
        <w:spacing w:before="0" w:after="0" w:line="235" w:lineRule="exact"/>
        <w:ind w:left="0" w:right="0"/>
      </w:pPr>
    </w:p>
    <w:p>
      <w:pPr>
        <w:autoSpaceDE w:val="0"/>
        <w:autoSpaceDN w:val="0"/>
        <w:spacing w:before="0" w:after="0" w:line="526" w:lineRule="auto"/>
        <w:ind w:left="1531" w:right="8132" w:firstLine="0"/>
      </w:pPr>
      <w:r>
        <w:rPr>
          <w:rFonts w:ascii="PMingLiU" w:hAnsi="PMingLiU" w:cs="PMingLiU" w:eastAsia="PMingLiU"/>
          <w:color w:val="000000"/>
          <w:spacing w:val="12"/>
          <w:sz w:val="28"/>
          <w:szCs w:val="28"/>
        </w:rPr>
        <w:t>四、臨時動議</w:t>
      </w:r>
      <w:r>
        <w:rPr>
          <w:rFonts w:ascii="PMingLiU" w:hAnsi="PMingLiU" w:cs="PMingLiU" w:eastAsia="PMingLiU"/>
          <w:color w:val="000000"/>
          <w:spacing w:val="8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13"/>
          <w:sz w:val="28"/>
          <w:szCs w:val="28"/>
        </w:rPr>
        <w:t>略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)</w:t>
      </w:r>
      <w:r>
        <w:rPr>
          <w:rFonts w:ascii="PMingLiU" w:hAnsi="PMingLiU" w:cs="PMingLiU" w:eastAsia="PMingLiU"/>
          <w:color w:val="000000"/>
          <w:spacing w:val="23"/>
          <w:sz w:val="28"/>
          <w:szCs w:val="28"/>
        </w:rPr>
        <w:t>五、散會</w:t>
      </w:r>
      <w:r>
        <w:rPr>
          <w:rFonts w:ascii="PMingLiU" w:hAnsi="PMingLiU" w:cs="PMingLiU" w:eastAsia="PMingLiU"/>
          <w:color w:val="000000"/>
          <w:spacing w:val="11"/>
          <w:sz w:val="28"/>
          <w:szCs w:val="28"/>
        </w:rPr>
        <w:t>-1</w:t>
      </w:r>
      <w:r>
        <w:rPr>
          <w:rFonts w:ascii="PMingLiU" w:hAnsi="PMingLiU" w:cs="PMingLiU" w:eastAsia="PMingLiU"/>
          <w:color w:val="000000"/>
          <w:spacing w:val="10"/>
          <w:sz w:val="28"/>
          <w:szCs w:val="28"/>
        </w:rPr>
        <w:t>6:30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