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76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國立臺北藝術大學</w:t>
      </w:r>
      <w:r>
        <w:rPr>
          <w:rFonts w:ascii="PMingLiU" w:hAnsi="PMingLiU" w:cs="PMingLiU" w:eastAsia="PMingLiU"/>
          <w:sz w:val="32"/>
          <w:szCs w:val="32"/>
          <w:b/>
          <w:spacing w:val="5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10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5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學年度第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2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學期第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1</w:t>
      </w:r>
      <w:r>
        <w:rPr>
          <w:rFonts w:ascii="PMingLiU" w:hAnsi="PMingLiU" w:cs="PMingLiU" w:eastAsia="PMingLiU"/>
          <w:sz w:val="32"/>
          <w:szCs w:val="32"/>
          <w:b/>
          <w:spacing w:val="6"/>
        </w:rPr>
        <w:t> 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" w:after="0" w:line="240" w:lineRule="auto"/>
        <w:ind w:left="4380" w:right="0" w:firstLine="0"/>
      </w:pPr>
      <w:r>
        <w:rPr>
          <w:rFonts w:ascii="PMingLiU" w:hAnsi="PMingLiU" w:cs="PMingLiU" w:eastAsia="PMingLiU"/>
          <w:b/>
          <w:color w:val="000000"/>
          <w:sz w:val="32"/>
          <w:szCs w:val="32"/>
        </w:rPr>
        <w:t>校務發展小組會議</w:t>
      </w:r>
      <w:r>
        <w:rPr>
          <w:rFonts w:ascii="PMingLiU" w:hAnsi="PMingLiU" w:cs="PMingLiU" w:eastAsia="PMingLiU"/>
          <w:b/>
          <w:color w:val="000000"/>
          <w:sz w:val="32"/>
          <w:szCs w:val="32"/>
        </w:rPr>
        <w:t>紀</w:t>
      </w:r>
      <w:r>
        <w:rPr>
          <w:rFonts w:ascii="PMingLiU" w:hAnsi="PMingLiU" w:cs="PMingLiU" w:eastAsia="PMingLiU"/>
          <w:b/>
          <w:color w:val="000000"/>
          <w:spacing w:val="-1"/>
          <w:sz w:val="32"/>
          <w:szCs w:val="32"/>
        </w:rPr>
        <w:t>錄</w:t>
      </w:r>
    </w:p>
    <w:p>
      <w:pPr>
        <w:spacing w:before="0" w:after="0" w:line="36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 w:eastAsia="Times New Roman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z w:val="28"/>
          <w:szCs w:val="28"/>
        </w:rPr>
        <w:t>星期二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下午</w:t>
      </w:r>
      <w:r>
        <w:rPr>
          <w:rFonts w:ascii="PMingLiU" w:hAnsi="PMingLiU" w:cs="PMingLiU" w:eastAsia="PMingLiU"/>
          <w:sz w:val="28"/>
          <w:szCs w:val="2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12:45-13:10</w:t>
      </w:r>
    </w:p>
    <w:p>
      <w:pPr>
        <w:spacing w:before="0" w:after="0" w:line="365" w:lineRule="exact"/>
        <w:ind w:left="0" w:right="0"/>
      </w:pPr>
    </w:p>
    <w:p>
      <w:pPr>
        <w:autoSpaceDE w:val="0"/>
        <w:autoSpaceDN w:val="0"/>
        <w:spacing w:before="0" w:after="0" w:line="363" w:lineRule="auto"/>
        <w:ind w:left="1530" w:right="7013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2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樓會議室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主持人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陳召集委員雅萍</w:t>
      </w:r>
    </w:p>
    <w:p>
      <w:pPr>
        <w:spacing w:before="0" w:after="0" w:line="124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929" w:right="1472" w:firstLine="-1398"/>
      </w:pPr>
      <w:r>
        <w:rPr>
          <w:rFonts w:ascii="PMingLiU" w:hAnsi="PMingLiU" w:cs="PMingLiU" w:eastAsia="PMingLiU"/>
          <w:color w:val="000000"/>
          <w:sz w:val="28"/>
          <w:szCs w:val="28"/>
        </w:rPr>
        <w:t>出席委員</w:t>
      </w:r>
      <w:r>
        <w:rPr>
          <w:rFonts w:ascii="PMingLiU" w:hAnsi="PMingLiU" w:cs="PMingLiU" w:eastAsia="PMingLiU"/>
          <w:color w:val="000000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張委員中煖、劉委員錫權、詹委員惠登、劉委員慧謹、曲委員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德益、簡委員立人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請假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、王委員雲幼、魏委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員德樂、張委員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婉真</w:t>
      </w:r>
    </w:p>
    <w:p>
      <w:pPr>
        <w:autoSpaceDE w:val="0"/>
        <w:autoSpaceDN w:val="0"/>
        <w:spacing w:before="1" w:after="0" w:line="240" w:lineRule="auto"/>
        <w:ind w:left="1530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列席人員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2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郭主任秘書美娟、蔡主任凌蕙、林主任宏璋、招生組組長張翠</w:t>
      </w:r>
    </w:p>
    <w:p>
      <w:pPr>
        <w:spacing w:before="0" w:after="0" w:line="1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929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琳</w:t>
      </w:r>
      <w:r>
        <w:rPr>
          <w:rFonts w:ascii="PMingLiU" w:hAnsi="PMingLiU" w:cs="PMingLiU" w:eastAsia="PMingLiU"/>
          <w:color w:val="000000"/>
          <w:sz w:val="28"/>
          <w:szCs w:val="28"/>
        </w:rPr>
        <w:t>、綜合企劃組組長林文斌</w:t>
      </w:r>
    </w:p>
    <w:p>
      <w:pPr>
        <w:spacing w:before="0" w:after="0" w:line="1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29" w:right="0" w:firstLine="0"/>
      </w:pP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記錄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70"/>
        </w:rPr>
        <w:t> </w:t>
      </w:r>
      <w:r>
        <w:rPr>
          <w:rFonts w:ascii="PMingLiU" w:hAnsi="PMingLiU" w:cs="PMingLiU" w:eastAsia="PMingLiU"/>
          <w:color w:val="000000"/>
          <w:spacing w:val="6"/>
          <w:sz w:val="28"/>
          <w:szCs w:val="28"/>
        </w:rPr>
        <w:t>研發處周君霖專員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29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一、</w:t>
      </w:r>
      <w:r>
        <w:rPr>
          <w:rFonts w:ascii="PMingLiU" w:hAnsi="PMingLiU" w:cs="PMingLiU" w:eastAsia="PMingLiU"/>
          <w:color w:val="000000"/>
          <w:sz w:val="28"/>
          <w:szCs w:val="28"/>
        </w:rPr>
        <w:t>召集人報告（略）</w:t>
      </w:r>
    </w:p>
    <w:p>
      <w:pPr>
        <w:spacing w:before="0" w:after="0" w:line="29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29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二</w:t>
      </w:r>
      <w:r>
        <w:rPr>
          <w:rFonts w:ascii="PMingLiU" w:hAnsi="PMingLiU" w:cs="PMingLiU" w:eastAsia="PMingLiU"/>
          <w:color w:val="000000"/>
          <w:sz w:val="28"/>
          <w:szCs w:val="28"/>
        </w:rPr>
        <w:t>、提案討論</w:t>
      </w:r>
    </w:p>
    <w:p>
      <w:pPr>
        <w:autoSpaceDE w:val="0"/>
        <w:autoSpaceDN w:val="0"/>
        <w:spacing w:before="52" w:after="0" w:line="264" w:lineRule="auto"/>
        <w:ind w:left="2652" w:right="1406" w:firstLine="-112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案由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一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：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本校文化資源學院藝術與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人文教育研究所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「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中等學校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教師在職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進修藝術與人文領域教學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碩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士學位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班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申請裁撤案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，提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請審議。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（提案單位：藝術與人文教育研究所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）</w:t>
      </w: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</w:p>
    <w:p>
      <w:pPr>
        <w:autoSpaceDE w:val="0"/>
        <w:autoSpaceDN w:val="0"/>
        <w:spacing w:before="35" w:after="0" w:line="240" w:lineRule="auto"/>
        <w:ind w:left="1531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spacing w:val="20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議：照案審議通過。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案由二：為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本校音樂學院傳統音樂學系碩士班申請學籍分組調整計畫案</w:t>
      </w:r>
      <w:r>
        <w:rPr>
          <w:rFonts w:ascii="PMingLiU" w:hAnsi="PMingLiU" w:cs="PMingLiU" w:eastAsia="PMingLiU"/>
          <w:b/>
          <w:color w:val="000000"/>
          <w:spacing w:val="6"/>
          <w:sz w:val="28"/>
          <w:szCs w:val="28"/>
        </w:rPr>
        <w:t>，</w:t>
      </w:r>
    </w:p>
    <w:p>
      <w:pPr>
        <w:autoSpaceDE w:val="0"/>
        <w:autoSpaceDN w:val="0"/>
        <w:spacing w:before="36" w:after="0" w:line="240" w:lineRule="auto"/>
        <w:ind w:left="2666" w:right="0" w:firstLine="0"/>
      </w:pPr>
      <w:r>
        <w:rPr>
          <w:rFonts w:ascii="PMingLiU" w:hAnsi="PMingLiU" w:cs="PMingLiU" w:eastAsia="PMingLiU"/>
          <w:b/>
          <w:color w:val="000000"/>
          <w:spacing w:val="-8"/>
          <w:sz w:val="28"/>
          <w:szCs w:val="28"/>
        </w:rPr>
        <w:t>提請審議。</w:t>
      </w:r>
      <w:r>
        <w:rPr>
          <w:rFonts w:ascii="PMingLiU" w:hAnsi="PMingLiU" w:cs="PMingLiU" w:eastAsia="PMingLiU"/>
          <w:b/>
          <w:color w:val="000000"/>
          <w:spacing w:val="-8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傳統音樂學系）</w:t>
      </w:r>
    </w:p>
    <w:p>
      <w:pPr>
        <w:autoSpaceDE w:val="0"/>
        <w:autoSpaceDN w:val="0"/>
        <w:spacing w:before="36" w:after="0" w:line="262" w:lineRule="auto"/>
        <w:ind w:left="1531" w:right="7574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17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  <w:r>
        <w:rPr>
          <w:rFonts w:ascii="PMingLiU" w:hAnsi="PMingLiU" w:cs="PMingLiU" w:eastAsia="PMingLiU"/>
          <w:color w:val="000000"/>
          <w:spacing w:val="16"/>
          <w:sz w:val="28"/>
          <w:szCs w:val="28"/>
        </w:rPr>
        <w:t>建議事項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</w:p>
    <w:p>
      <w:pPr>
        <w:autoSpaceDE w:val="0"/>
        <w:autoSpaceDN w:val="0"/>
        <w:spacing w:before="21" w:after="0" w:line="240" w:lineRule="auto"/>
        <w:ind w:left="237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1.</w:t>
      </w:r>
      <w:r>
        <w:rPr>
          <w:rFonts w:ascii="PMingLiU" w:hAnsi="PMingLiU" w:cs="PMingLiU" w:eastAsia="PMingLiU"/>
          <w:sz w:val="28"/>
          <w:szCs w:val="28"/>
          <w:spacing w:val="5"/>
        </w:rPr>
        <w:t> 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請修正並充實計畫書中課程規劃部分說明</w:t>
      </w:r>
      <w:r>
        <w:rPr>
          <w:rFonts w:ascii="PMingLiU" w:hAnsi="PMingLiU" w:cs="PMingLiU" w:eastAsia="PMingLiU"/>
          <w:color w:val="000000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以清楚反應調整後課</w:t>
      </w:r>
    </w:p>
    <w:p>
      <w:pPr>
        <w:autoSpaceDE w:val="0"/>
        <w:autoSpaceDN w:val="0"/>
        <w:spacing w:before="56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程</w:t>
      </w:r>
      <w:r>
        <w:rPr>
          <w:rFonts w:ascii="PMingLiU" w:hAnsi="PMingLiU" w:cs="PMingLiU" w:eastAsia="PMingLiU"/>
          <w:color w:val="000000"/>
          <w:sz w:val="28"/>
          <w:szCs w:val="28"/>
        </w:rPr>
        <w:t>結構，以利報部審查。</w:t>
      </w:r>
    </w:p>
    <w:p>
      <w:pPr>
        <w:autoSpaceDE w:val="0"/>
        <w:autoSpaceDN w:val="0"/>
        <w:spacing w:before="56" w:after="0" w:line="240" w:lineRule="auto"/>
        <w:ind w:left="237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2.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總量提報須有師生溝通之會議紀錄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，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包括學生正反意見摘要及系</w:t>
      </w:r>
    </w:p>
    <w:p>
      <w:pPr>
        <w:autoSpaceDE w:val="0"/>
        <w:autoSpaceDN w:val="0"/>
        <w:spacing w:before="56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方</w:t>
      </w:r>
      <w:r>
        <w:rPr>
          <w:rFonts w:ascii="PMingLiU" w:hAnsi="PMingLiU" w:cs="PMingLiU" w:eastAsia="PMingLiU"/>
          <w:color w:val="000000"/>
          <w:sz w:val="28"/>
          <w:szCs w:val="28"/>
        </w:rPr>
        <w:t>回應說明，請於校務會議前完成補充說明。</w:t>
      </w:r>
    </w:p>
    <w:p>
      <w:pPr>
        <w:autoSpaceDE w:val="0"/>
        <w:autoSpaceDN w:val="0"/>
        <w:spacing w:before="56" w:after="0" w:line="240" w:lineRule="auto"/>
        <w:ind w:left="2371" w:right="0" w:firstLine="0"/>
      </w:pPr>
      <w:r>
        <w:rPr>
          <w:rFonts w:ascii="PMingLiU" w:hAnsi="PMingLiU" w:cs="PMingLiU" w:eastAsia="PMingLiU"/>
          <w:color w:val="000000"/>
          <w:spacing w:val="2"/>
          <w:sz w:val="28"/>
          <w:szCs w:val="28"/>
        </w:rPr>
        <w:t>3.</w:t>
      </w:r>
      <w:r>
        <w:rPr>
          <w:rFonts w:ascii="PMingLiU" w:hAnsi="PMingLiU" w:cs="PMingLiU" w:eastAsia="PMingLiU"/>
          <w:sz w:val="28"/>
          <w:szCs w:val="28"/>
          <w:spacing w:val="6"/>
        </w:rPr>
        <w:t> 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請教務處協助傳音系於提報教育部前修正計畫書，使其更為完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備。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9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</w:rPr>
        <w:t>  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議：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依委員建議修正後通過</w:t>
      </w:r>
      <w:r>
        <w:rPr>
          <w:rFonts w:ascii="PMingLiU" w:hAnsi="PMingLiU" w:cs="PMingLiU" w:eastAsia="PMingLiU"/>
          <w:b/>
          <w:color w:val="000000"/>
          <w:spacing w:val="9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續提校務發展委員會審議</w:t>
      </w:r>
      <w:r>
        <w:rPr>
          <w:rFonts w:ascii="PMingLiU" w:hAnsi="PMingLiU" w:cs="PMingLiU" w:eastAsia="PMingLiU"/>
          <w:b/>
          <w:color w:val="000000"/>
          <w:spacing w:val="8"/>
          <w:sz w:val="28"/>
          <w:szCs w:val="28"/>
        </w:rPr>
        <w:t>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案由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三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：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為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本校美術學院美術學系碩士班申請學籍分組調整計畫案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，提請</w:t>
      </w:r>
    </w:p>
    <w:p>
      <w:pPr>
        <w:autoSpaceDE w:val="0"/>
        <w:autoSpaceDN w:val="0"/>
        <w:spacing w:before="36" w:after="0" w:line="240" w:lineRule="auto"/>
        <w:ind w:left="2666" w:right="0" w:firstLine="0"/>
      </w:pP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審議。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（提案單位：美術學系</w:t>
      </w:r>
      <w:r>
        <w:rPr>
          <w:rFonts w:ascii="PMingLiU" w:hAnsi="PMingLiU" w:cs="PMingLiU" w:eastAsia="PMingLiU"/>
          <w:b/>
          <w:color w:val="000000"/>
          <w:spacing w:val="-5"/>
          <w:sz w:val="28"/>
          <w:szCs w:val="28"/>
        </w:rPr>
        <w:t>）</w:t>
      </w:r>
    </w:p>
    <w:p>
      <w:pPr>
        <w:autoSpaceDE w:val="0"/>
        <w:autoSpaceDN w:val="0"/>
        <w:spacing w:before="36" w:after="0" w:line="262" w:lineRule="auto"/>
        <w:ind w:left="1531" w:right="7574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說</w:t>
      </w:r>
      <w:r>
        <w:rPr>
          <w:rFonts w:ascii="PMingLiU" w:hAnsi="PMingLiU" w:cs="PMingLiU" w:eastAsia="PMingLiU"/>
          <w:sz w:val="28"/>
          <w:szCs w:val="28"/>
          <w:spacing w:val="17"/>
        </w:rPr>
        <w:t>   </w:t>
      </w:r>
      <w:r>
        <w:rPr>
          <w:rFonts w:ascii="PMingLiU" w:hAnsi="PMingLiU" w:cs="PMingLiU" w:eastAsia="PMingLiU"/>
          <w:color w:val="000000"/>
          <w:sz w:val="28"/>
          <w:szCs w:val="28"/>
        </w:rPr>
        <w:t>明：詳如提案單。</w:t>
      </w:r>
      <w:r>
        <w:rPr>
          <w:rFonts w:ascii="PMingLiU" w:hAnsi="PMingLiU" w:cs="PMingLiU" w:eastAsia="PMingLiU"/>
          <w:color w:val="000000"/>
          <w:spacing w:val="16"/>
          <w:sz w:val="28"/>
          <w:szCs w:val="28"/>
        </w:rPr>
        <w:t>建議事項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</w:p>
    <w:p>
      <w:pPr>
        <w:autoSpaceDE w:val="0"/>
        <w:autoSpaceDN w:val="0"/>
        <w:spacing w:before="21" w:after="0" w:line="240" w:lineRule="auto"/>
        <w:ind w:left="2371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1.</w:t>
      </w:r>
      <w:r>
        <w:rPr>
          <w:rFonts w:ascii="PMingLiU" w:hAnsi="PMingLiU" w:cs="PMingLiU" w:eastAsia="PMingLiU"/>
          <w:sz w:val="28"/>
          <w:szCs w:val="28"/>
          <w:spacing w:val="17"/>
        </w:rPr>
        <w:t> 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計劃書中招生管道及名額人數請修正。</w:t>
      </w:r>
    </w:p>
    <w:p>
      <w:pPr>
        <w:autoSpaceDE w:val="0"/>
        <w:autoSpaceDN w:val="0"/>
        <w:spacing w:before="56" w:after="0" w:line="240" w:lineRule="auto"/>
        <w:ind w:left="237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2.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總量提報須有師生溝通之會議紀錄，包括日期、學生正反意見摘</w:t>
      </w:r>
    </w:p>
    <w:p>
      <w:pPr>
        <w:autoSpaceDE w:val="0"/>
        <w:autoSpaceDN w:val="0"/>
        <w:spacing w:before="56" w:after="0" w:line="240" w:lineRule="auto"/>
        <w:ind w:left="273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要</w:t>
      </w:r>
      <w:r>
        <w:rPr>
          <w:rFonts w:ascii="PMingLiU" w:hAnsi="PMingLiU" w:cs="PMingLiU" w:eastAsia="PMingLiU"/>
          <w:color w:val="000000"/>
          <w:sz w:val="28"/>
          <w:szCs w:val="28"/>
        </w:rPr>
        <w:t>及系方回應說明，請於校務會議前完成補充說明。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39" w:after="0" w:line="240" w:lineRule="auto"/>
        <w:ind w:left="1531" w:right="0" w:firstLine="0"/>
      </w:pP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決</w:t>
      </w:r>
      <w:r>
        <w:rPr>
          <w:rFonts w:ascii="PMingLiU" w:hAnsi="PMingLiU" w:cs="PMingLiU" w:eastAsia="PMingLiU"/>
          <w:sz w:val="28"/>
          <w:szCs w:val="28"/>
          <w:b/>
          <w:spacing w:val="2"/>
        </w:rPr>
        <w:t>   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議：依委員建議修正後通過</w:t>
      </w:r>
      <w:r>
        <w:rPr>
          <w:rFonts w:ascii="PMingLiU" w:hAnsi="PMingLiU" w:cs="PMingLiU" w:eastAsia="PMingLiU"/>
          <w:b/>
          <w:color w:val="000000"/>
          <w:spacing w:val="9"/>
          <w:sz w:val="28"/>
          <w:szCs w:val="28"/>
        </w:rPr>
        <w:t>，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續提校務發展委員會審議。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435" w:lineRule="auto"/>
        <w:ind w:left="1531" w:right="8133" w:firstLine="0"/>
      </w:pP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三、臨時動議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5"/>
        </w:rPr>
        <w:t> 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26"/>
          <w:sz w:val="28"/>
          <w:szCs w:val="28"/>
        </w:rPr>
        <w:t>四、散會</w:t>
      </w:r>
      <w:r>
        <w:rPr>
          <w:rFonts w:ascii="PMingLiU" w:hAnsi="PMingLiU" w:cs="PMingLiU" w:eastAsia="PMingLiU"/>
          <w:color w:val="000000"/>
          <w:spacing w:val="8"/>
          <w:sz w:val="28"/>
          <w:szCs w:val="28"/>
        </w:rPr>
        <w:t>: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13:10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2" w:name="PageMark3"/>
      <w:bookmarkEnd w:id="2"/>
    </w:p>
    <w:p>
      <w:pPr>
        <w:sectPr>
          <w:pgSz w:w="11880" w:h="16820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3" w:name="PageMark4"/>
      <w:bookmarkEnd w:id="3"/>
    </w:p>
    <w:sectPr>
      <w:pgSz w:w="1188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